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42"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2021</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ind w:left="480" w:hanging="459"/>
        <w:spacing w:after="0" w:line="196" w:lineRule="auto"/>
        <w:tabs>
          <w:tab w:leader="none" w:pos="480" w:val="left"/>
        </w:tabs>
        <w:numPr>
          <w:ilvl w:val="0"/>
          <w:numId w:val="2"/>
        </w:numPr>
        <w:rPr>
          <w:rFonts w:ascii="MS PGothic" w:cs="MS PGothic" w:eastAsia="MS PGothic" w:hAnsi="MS PGothic"/>
          <w:sz w:val="7"/>
          <w:szCs w:val="7"/>
          <w:color w:val="auto"/>
          <w:highlight w:val="black"/>
        </w:rPr>
      </w:pPr>
      <w:r>
        <w:rPr>
          <w:rFonts w:ascii="Arial" w:cs="Arial" w:eastAsia="Arial" w:hAnsi="Arial"/>
          <w:sz w:val="7"/>
          <w:szCs w:val="7"/>
          <w:b w:val="1"/>
          <w:bCs w:val="1"/>
          <w:color w:val="auto"/>
        </w:rPr>
        <w:t>TRANSITION REPORT PURSUANT TO SECTION 13 OR 15(d) OF THE SECURITIES EXCHANGE ACT OF 1934 FOR THE TRANSITION</w:t>
      </w:r>
    </w:p>
    <w:p>
      <w:pPr>
        <w:spacing w:after="0" w:line="150" w:lineRule="exact"/>
        <w:rPr>
          <w:sz w:val="24"/>
          <w:szCs w:val="24"/>
          <w:color w:val="auto"/>
        </w:rPr>
      </w:pP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Spruce Biosciences, Inc.</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500" w:type="dxa"/>
            <w:vAlign w:val="bottom"/>
          </w:tcPr>
          <w:p>
            <w:pPr>
              <w:jc w:val="center"/>
              <w:ind w:left="1054"/>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20" w:type="dxa"/>
            <w:vAlign w:val="bottom"/>
          </w:tcPr>
          <w:p>
            <w:pPr>
              <w:jc w:val="right"/>
              <w:ind w:right="2394"/>
              <w:spacing w:after="0"/>
              <w:rPr>
                <w:sz w:val="20"/>
                <w:szCs w:val="20"/>
                <w:color w:val="auto"/>
              </w:rPr>
            </w:pPr>
            <w:r>
              <w:rPr>
                <w:rFonts w:ascii="Arial" w:cs="Arial" w:eastAsia="Arial" w:hAnsi="Arial"/>
                <w:sz w:val="14"/>
                <w:szCs w:val="14"/>
                <w:b w:val="1"/>
                <w:bCs w:val="1"/>
                <w:color w:val="auto"/>
              </w:rPr>
              <w:t>81-2154263</w:t>
            </w:r>
          </w:p>
        </w:tc>
        <w:tc>
          <w:tcPr>
            <w:tcW w:w="0" w:type="dxa"/>
            <w:vAlign w:val="bottom"/>
          </w:tcPr>
          <w:p>
            <w:pPr>
              <w:spacing w:after="0"/>
              <w:rPr>
                <w:sz w:val="1"/>
                <w:szCs w:val="1"/>
                <w:color w:val="auto"/>
              </w:rPr>
            </w:pPr>
          </w:p>
        </w:tc>
      </w:tr>
      <w:tr>
        <w:trPr>
          <w:trHeight w:val="126"/>
        </w:trPr>
        <w:tc>
          <w:tcPr>
            <w:tcW w:w="4500" w:type="dxa"/>
            <w:vAlign w:val="bottom"/>
          </w:tcPr>
          <w:p>
            <w:pPr>
              <w:jc w:val="center"/>
              <w:ind w:left="1054"/>
              <w:spacing w:after="0" w:line="126" w:lineRule="exact"/>
              <w:rPr>
                <w:sz w:val="20"/>
                <w:szCs w:val="20"/>
                <w:color w:val="auto"/>
              </w:rPr>
            </w:pPr>
            <w:r>
              <w:rPr>
                <w:rFonts w:ascii="Arial" w:cs="Arial" w:eastAsia="Arial" w:hAnsi="Arial"/>
                <w:sz w:val="13"/>
                <w:szCs w:val="13"/>
                <w:b w:val="1"/>
                <w:bCs w:val="1"/>
                <w:color w:val="auto"/>
                <w:w w:val="88"/>
              </w:rPr>
              <w:t>(State or other jurisdiction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520" w:type="dxa"/>
            <w:vAlign w:val="bottom"/>
          </w:tcPr>
          <w:p>
            <w:pPr>
              <w:jc w:val="center"/>
              <w:ind w:right="2034"/>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53"/>
        </w:trPr>
        <w:tc>
          <w:tcPr>
            <w:tcW w:w="4500" w:type="dxa"/>
            <w:vAlign w:val="bottom"/>
          </w:tcPr>
          <w:p>
            <w:pPr>
              <w:jc w:val="center"/>
              <w:ind w:left="1074"/>
              <w:spacing w:after="0"/>
              <w:rPr>
                <w:sz w:val="20"/>
                <w:szCs w:val="20"/>
                <w:color w:val="auto"/>
              </w:rPr>
            </w:pPr>
            <w:r>
              <w:rPr>
                <w:rFonts w:ascii="Arial" w:cs="Arial" w:eastAsia="Arial" w:hAnsi="Arial"/>
                <w:sz w:val="13"/>
                <w:szCs w:val="13"/>
                <w:b w:val="1"/>
                <w:bCs w:val="1"/>
                <w:color w:val="auto"/>
                <w:w w:val="88"/>
              </w:rPr>
              <w:t>incorporation or organization)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20" w:type="dxa"/>
            <w:vAlign w:val="bottom"/>
          </w:tcPr>
          <w:p>
            <w:pPr>
              <w:jc w:val="center"/>
              <w:ind w:right="2034"/>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4500" w:type="dxa"/>
            <w:vAlign w:val="bottom"/>
          </w:tcPr>
          <w:p>
            <w:pPr>
              <w:jc w:val="center"/>
              <w:ind w:left="1074"/>
              <w:spacing w:after="0" w:line="149" w:lineRule="exact"/>
              <w:rPr>
                <w:sz w:val="20"/>
                <w:szCs w:val="20"/>
                <w:color w:val="auto"/>
              </w:rPr>
            </w:pPr>
            <w:r>
              <w:rPr>
                <w:rFonts w:ascii="Arial" w:cs="Arial" w:eastAsia="Arial" w:hAnsi="Arial"/>
                <w:sz w:val="14"/>
                <w:szCs w:val="14"/>
                <w:b w:val="1"/>
                <w:bCs w:val="1"/>
                <w:color w:val="auto"/>
                <w:w w:val="92"/>
              </w:rPr>
              <w:t>2001 Junipero Serra Boulevard, Suite 640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20" w:type="dxa"/>
            <w:vAlign w:val="bottom"/>
            <w:vMerge w:val="restart"/>
          </w:tcPr>
          <w:p>
            <w:pPr>
              <w:jc w:val="right"/>
              <w:ind w:right="2554"/>
              <w:spacing w:after="0"/>
              <w:rPr>
                <w:sz w:val="20"/>
                <w:szCs w:val="20"/>
                <w:color w:val="auto"/>
              </w:rPr>
            </w:pPr>
            <w:r>
              <w:rPr>
                <w:rFonts w:ascii="Arial" w:cs="Arial" w:eastAsia="Arial" w:hAnsi="Arial"/>
                <w:sz w:val="14"/>
                <w:szCs w:val="14"/>
                <w:b w:val="1"/>
                <w:bCs w:val="1"/>
                <w:color w:val="auto"/>
              </w:rPr>
              <w:t>94014</w:t>
            </w:r>
          </w:p>
        </w:tc>
        <w:tc>
          <w:tcPr>
            <w:tcW w:w="0" w:type="dxa"/>
            <w:vAlign w:val="bottom"/>
          </w:tcPr>
          <w:p>
            <w:pPr>
              <w:spacing w:after="0"/>
              <w:rPr>
                <w:sz w:val="1"/>
                <w:szCs w:val="1"/>
                <w:color w:val="auto"/>
              </w:rPr>
            </w:pPr>
          </w:p>
        </w:tc>
      </w:tr>
      <w:tr>
        <w:trPr>
          <w:trHeight w:val="166"/>
        </w:trPr>
        <w:tc>
          <w:tcPr>
            <w:tcW w:w="4500" w:type="dxa"/>
            <w:vAlign w:val="bottom"/>
          </w:tcPr>
          <w:p>
            <w:pPr>
              <w:jc w:val="center"/>
              <w:ind w:left="1074"/>
              <w:spacing w:after="0"/>
              <w:rPr>
                <w:sz w:val="20"/>
                <w:szCs w:val="20"/>
                <w:color w:val="auto"/>
              </w:rPr>
            </w:pPr>
            <w:r>
              <w:rPr>
                <w:rFonts w:ascii="Arial" w:cs="Arial" w:eastAsia="Arial" w:hAnsi="Arial"/>
                <w:sz w:val="14"/>
                <w:szCs w:val="14"/>
                <w:b w:val="1"/>
                <w:bCs w:val="1"/>
                <w:color w:val="auto"/>
                <w:w w:val="96"/>
              </w:rPr>
              <w:t>Daly City, California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00" w:type="dxa"/>
            <w:vAlign w:val="bottom"/>
          </w:tcPr>
          <w:p>
            <w:pPr>
              <w:jc w:val="center"/>
              <w:ind w:left="10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20" w:type="dxa"/>
            <w:vAlign w:val="bottom"/>
          </w:tcPr>
          <w:p>
            <w:pPr>
              <w:jc w:val="center"/>
              <w:ind w:right="203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0"/>
        </w:trPr>
        <w:tc>
          <w:tcPr>
            <w:tcW w:w="7720" w:type="dxa"/>
            <w:vAlign w:val="bottom"/>
            <w:gridSpan w:val="7"/>
          </w:tcPr>
          <w:p>
            <w:pPr>
              <w:ind w:left="3540"/>
              <w:spacing w:after="0"/>
              <w:rPr>
                <w:sz w:val="20"/>
                <w:szCs w:val="20"/>
                <w:color w:val="auto"/>
              </w:rPr>
            </w:pPr>
            <w:r>
              <w:rPr>
                <w:rFonts w:ascii="Arial" w:cs="Arial" w:eastAsia="Arial" w:hAnsi="Arial"/>
                <w:sz w:val="14"/>
                <w:szCs w:val="14"/>
                <w:b w:val="1"/>
                <w:bCs w:val="1"/>
                <w:color w:val="auto"/>
                <w:w w:val="92"/>
              </w:rPr>
              <w:t>Registrant’s telephone number, including area code: (415) 655-4168</w:t>
            </w: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500" w:type="dxa"/>
            <w:vAlign w:val="bottom"/>
            <w:vMerge w:val="restart"/>
          </w:tcPr>
          <w:p>
            <w:pPr>
              <w:ind w:left="1840"/>
              <w:spacing w:after="0"/>
              <w:rPr>
                <w:sz w:val="20"/>
                <w:szCs w:val="20"/>
                <w:color w:val="auto"/>
              </w:rPr>
            </w:pPr>
            <w:r>
              <w:rPr>
                <w:rFonts w:ascii="Arial" w:cs="Arial" w:eastAsia="Arial" w:hAnsi="Arial"/>
                <w:sz w:val="13"/>
                <w:szCs w:val="13"/>
                <w:b w:val="1"/>
                <w:bCs w:val="1"/>
                <w:color w:val="auto"/>
              </w:rPr>
              <w:t>Title of each class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4"/>
          </w:tcPr>
          <w:p>
            <w:pPr>
              <w:jc w:val="center"/>
              <w:ind w:right="1180"/>
              <w:spacing w:after="0"/>
              <w:rPr>
                <w:sz w:val="20"/>
                <w:szCs w:val="20"/>
                <w:color w:val="auto"/>
              </w:rPr>
            </w:pPr>
            <w:r>
              <w:rPr>
                <w:rFonts w:ascii="Arial" w:cs="Arial" w:eastAsia="Arial" w:hAnsi="Arial"/>
                <w:sz w:val="13"/>
                <w:szCs w:val="13"/>
                <w:b w:val="1"/>
                <w:bCs w:val="1"/>
                <w:color w:val="auto"/>
                <w:w w:val="92"/>
              </w:rPr>
              <w:t>Trading</w:t>
            </w:r>
          </w:p>
        </w:tc>
        <w:tc>
          <w:tcPr>
            <w:tcW w:w="3520" w:type="dxa"/>
            <w:vAlign w:val="bottom"/>
            <w:vMerge w:val="restart"/>
          </w:tcPr>
          <w:p>
            <w:pPr>
              <w:jc w:val="center"/>
              <w:ind w:right="994"/>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62"/>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4"/>
          </w:tcPr>
          <w:p>
            <w:pPr>
              <w:jc w:val="center"/>
              <w:ind w:right="1200"/>
              <w:spacing w:after="0"/>
              <w:rPr>
                <w:sz w:val="20"/>
                <w:szCs w:val="20"/>
                <w:color w:val="auto"/>
              </w:rPr>
            </w:pPr>
            <w:r>
              <w:rPr>
                <w:rFonts w:ascii="Arial" w:cs="Arial" w:eastAsia="Arial" w:hAnsi="Arial"/>
                <w:sz w:val="13"/>
                <w:szCs w:val="13"/>
                <w:b w:val="1"/>
                <w:bCs w:val="1"/>
                <w:color w:val="auto"/>
                <w:w w:val="85"/>
              </w:rPr>
              <w:t>Symbol(s)</w:t>
            </w:r>
          </w:p>
        </w:tc>
        <w:tc>
          <w:tcPr>
            <w:tcW w:w="3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Stock, par value $0.0001 per share</w:t>
            </w: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SPRB</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spacing w:after="0"/>
              <w:rPr>
                <w:sz w:val="13"/>
                <w:szCs w:val="13"/>
                <w:color w:val="auto"/>
              </w:rPr>
            </w:pPr>
          </w:p>
        </w:tc>
        <w:tc>
          <w:tcPr>
            <w:tcW w:w="3520" w:type="dxa"/>
            <w:vAlign w:val="bottom"/>
            <w:tcBorders>
              <w:top w:val="single" w:sz="8" w:color="auto"/>
            </w:tcBorders>
          </w:tcPr>
          <w:p>
            <w:pPr>
              <w:jc w:val="center"/>
              <w:ind w:right="994"/>
              <w:spacing w:after="0"/>
              <w:rPr>
                <w:sz w:val="20"/>
                <w:szCs w:val="20"/>
                <w:color w:val="auto"/>
              </w:rPr>
            </w:pPr>
            <w:r>
              <w:rPr>
                <w:rFonts w:ascii="Arial" w:cs="Arial" w:eastAsia="Arial" w:hAnsi="Arial"/>
                <w:sz w:val="13"/>
                <w:szCs w:val="13"/>
                <w:color w:val="auto"/>
                <w:w w:val="88"/>
              </w:rPr>
              <w:t>Nasdaq Global Select Market</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4520"/>
        <w:spacing w:after="0" w:line="194"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100"/>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0"/>
        <w:spacing w:after="0" w:line="15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51"/>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5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6" w:lineRule="exact"/>
        <w:rPr>
          <w:sz w:val="24"/>
          <w:szCs w:val="24"/>
          <w:color w:val="auto"/>
        </w:rPr>
      </w:pPr>
    </w:p>
    <w:p>
      <w:pPr>
        <w:ind w:right="320"/>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220"/>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4" w:lineRule="exact"/>
        <w:rPr>
          <w:sz w:val="24"/>
          <w:szCs w:val="24"/>
          <w:color w:val="auto"/>
        </w:rPr>
      </w:pPr>
    </w:p>
    <w:p>
      <w:pPr>
        <w:ind w:right="500"/>
        <w:spacing w:after="0" w:line="23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June 30, 2021, the last business day of the Registrant's most recently completed second fiscal quarter, was approximately $142,930,538, based on the closing price of the Registrant's common stock on the Nasdaq Global Select Market of $11.21 per share.</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11, 2022 was 23,492,873.</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Portions of the Registrant’s definitive Proxy Statement for its 2022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140" w:type="dxa"/>
            <w:vAlign w:val="bottom"/>
            <w:gridSpan w:val="2"/>
            <w:vMerge w:val="restart"/>
          </w:tcPr>
          <w:p>
            <w:pPr>
              <w:spacing w:after="0"/>
              <w:rPr>
                <w:rFonts w:ascii="Arial" w:cs="Arial" w:eastAsia="Arial" w:hAnsi="Arial"/>
                <w:sz w:val="18"/>
                <w:szCs w:val="18"/>
                <w:color w:val="0000FF"/>
                <w:w w:val="83"/>
              </w:rPr>
            </w:pPr>
            <w:hyperlink w:anchor="page3">
              <w:r>
                <w:rPr>
                  <w:rFonts w:ascii="Arial" w:cs="Arial" w:eastAsia="Arial" w:hAnsi="Arial"/>
                  <w:sz w:val="18"/>
                  <w:szCs w:val="18"/>
                  <w:color w:val="0000FF"/>
                  <w:w w:val="83"/>
                </w:rPr>
                <w:t>SPECIAL NOTE</w:t>
              </w:r>
            </w:hyperlink>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Page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8940" w:type="dxa"/>
            <w:vAlign w:val="bottom"/>
            <w:gridSpan w:val="30"/>
          </w:tcPr>
          <w:p>
            <w:pPr>
              <w:ind w:left="16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REGARDING FORWARD-LOOKING STATEMENTS</w:t>
              </w:r>
            </w:hyperlink>
          </w:p>
        </w:tc>
        <w:tc>
          <w:tcPr>
            <w:tcW w:w="114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472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5"/>
              </w:rPr>
            </w:pPr>
            <w:hyperlink w:anchor="page4">
              <w:r>
                <w:rPr>
                  <w:rFonts w:ascii="Arial" w:cs="Arial" w:eastAsia="Arial" w:hAnsi="Arial"/>
                  <w:sz w:val="18"/>
                  <w:szCs w:val="18"/>
                  <w:color w:val="0000FF"/>
                  <w:w w:val="95"/>
                </w:rPr>
                <w:t>SUMMARY OF RISKS ASSOCIATED WITH OUR BUSINESS</w:t>
              </w:r>
            </w:hyperlink>
          </w:p>
        </w:tc>
        <w:tc>
          <w:tcPr>
            <w:tcW w:w="600" w:type="dxa"/>
            <w:vAlign w:val="bottom"/>
            <w:tcBorders>
              <w:top w:val="single" w:sz="8" w:color="0000FF"/>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line="168" w:lineRule="exact"/>
              <w:rPr>
                <w:sz w:val="20"/>
                <w:szCs w:val="20"/>
                <w:color w:val="auto"/>
              </w:rPr>
            </w:pPr>
            <w:r>
              <w:rPr>
                <w:rFonts w:ascii="Arial" w:cs="Arial" w:eastAsia="Arial" w:hAnsi="Arial"/>
                <w:sz w:val="18"/>
                <w:szCs w:val="18"/>
                <w:b w:val="1"/>
                <w:bCs w:val="1"/>
                <w:color w:val="auto"/>
              </w:rPr>
              <w:t>PART I</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tcPr>
          <w:p>
            <w:pPr>
              <w:ind w:left="100"/>
              <w:spacing w:after="0" w:line="190" w:lineRule="exact"/>
              <w:rPr>
                <w:sz w:val="20"/>
                <w:szCs w:val="20"/>
                <w:color w:val="auto"/>
              </w:rPr>
            </w:pPr>
            <w:r>
              <w:rPr>
                <w:rFonts w:ascii="Arial" w:cs="Arial" w:eastAsia="Arial" w:hAnsi="Arial"/>
                <w:sz w:val="18"/>
                <w:szCs w:val="18"/>
                <w:color w:val="auto"/>
              </w:rPr>
              <w:t>Item 1.</w:t>
            </w:r>
          </w:p>
        </w:tc>
        <w:tc>
          <w:tcPr>
            <w:tcW w:w="8940" w:type="dxa"/>
            <w:vAlign w:val="bottom"/>
            <w:gridSpan w:val="30"/>
          </w:tcPr>
          <w:p>
            <w:pPr>
              <w:ind w:lef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Item 1A.</w:t>
            </w:r>
          </w:p>
        </w:tc>
        <w:tc>
          <w:tcPr>
            <w:tcW w:w="6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940" w:type="dxa"/>
            <w:vAlign w:val="bottom"/>
            <w:gridSpan w:val="30"/>
          </w:tcPr>
          <w:p>
            <w:pPr>
              <w:ind w:left="20"/>
              <w:spacing w:after="0" w:line="169" w:lineRule="exact"/>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1B.</w:t>
            </w:r>
          </w:p>
        </w:tc>
        <w:tc>
          <w:tcPr>
            <w:tcW w:w="920" w:type="dxa"/>
            <w:vAlign w:val="bottom"/>
            <w:tcBorders>
              <w:top w:val="single" w:sz="8" w:color="0000FF"/>
            </w:tcBorders>
            <w:gridSpan w:val="6"/>
          </w:tcPr>
          <w:p>
            <w:pPr>
              <w:ind w:left="20"/>
              <w:spacing w:after="0" w:line="169" w:lineRule="exact"/>
              <w:rPr>
                <w:rFonts w:ascii="Arial" w:cs="Arial" w:eastAsia="Arial" w:hAnsi="Arial"/>
                <w:sz w:val="18"/>
                <w:szCs w:val="18"/>
                <w:color w:val="0000FF"/>
                <w:w w:val="96"/>
              </w:rPr>
            </w:pPr>
            <w:hyperlink w:anchor="page100">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4"/>
                <w:szCs w:val="14"/>
                <w:color w:val="auto"/>
              </w:rPr>
            </w:pPr>
          </w:p>
        </w:tc>
        <w:tc>
          <w:tcPr>
            <w:tcW w:w="8000" w:type="dxa"/>
            <w:vAlign w:val="bottom"/>
            <w:gridSpan w:val="23"/>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Staff Comments</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FF"/>
              <w:bottom w:val="single" w:sz="8" w:color="0000FF"/>
            </w:tcBorders>
            <w:gridSpan w:val="4"/>
          </w:tcPr>
          <w:p>
            <w:pPr>
              <w:ind w:left="20"/>
              <w:spacing w:after="0" w:line="169" w:lineRule="exact"/>
              <w:rPr>
                <w:rFonts w:ascii="Arial" w:cs="Arial" w:eastAsia="Arial" w:hAnsi="Arial"/>
                <w:sz w:val="18"/>
                <w:szCs w:val="18"/>
                <w:color w:val="0000FF"/>
                <w:w w:val="87"/>
              </w:rPr>
            </w:pPr>
            <w:hyperlink w:anchor="page100">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280" w:type="dxa"/>
            <w:vAlign w:val="bottom"/>
            <w:tcBorders>
              <w:top w:val="single" w:sz="8" w:color="0000FF"/>
            </w:tcBorders>
            <w:gridSpan w:val="10"/>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3.</w:t>
            </w:r>
          </w:p>
        </w:tc>
        <w:tc>
          <w:tcPr>
            <w:tcW w:w="1380" w:type="dxa"/>
            <w:vAlign w:val="bottom"/>
            <w:tcBorders>
              <w:bottom w:val="single" w:sz="8" w:color="0000FF"/>
            </w:tcBorders>
            <w:gridSpan w:val="10"/>
          </w:tcPr>
          <w:p>
            <w:pPr>
              <w:ind w:left="20"/>
              <w:spacing w:after="0" w:line="169"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Legal Proceedings</w:t>
              </w:r>
            </w:hyperlink>
          </w:p>
        </w:tc>
        <w:tc>
          <w:tcPr>
            <w:tcW w:w="7560" w:type="dxa"/>
            <w:vAlign w:val="bottom"/>
            <w:gridSpan w:val="20"/>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4.</w:t>
            </w:r>
          </w:p>
        </w:tc>
        <w:tc>
          <w:tcPr>
            <w:tcW w:w="8940" w:type="dxa"/>
            <w:vAlign w:val="bottom"/>
            <w:gridSpan w:val="30"/>
          </w:tcPr>
          <w:p>
            <w:pPr>
              <w:ind w:left="20"/>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Mine Safety Disclosures</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5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tcPr>
          <w:p>
            <w:pPr>
              <w:ind w:left="100"/>
              <w:spacing w:after="0" w:line="190" w:lineRule="exact"/>
              <w:rPr>
                <w:sz w:val="20"/>
                <w:szCs w:val="20"/>
                <w:color w:val="auto"/>
              </w:rPr>
            </w:pPr>
            <w:r>
              <w:rPr>
                <w:rFonts w:ascii="Arial" w:cs="Arial" w:eastAsia="Arial" w:hAnsi="Arial"/>
                <w:sz w:val="18"/>
                <w:szCs w:val="18"/>
                <w:color w:val="auto"/>
              </w:rPr>
              <w:t>Item 5.</w:t>
            </w:r>
          </w:p>
        </w:tc>
        <w:tc>
          <w:tcPr>
            <w:tcW w:w="8940" w:type="dxa"/>
            <w:vAlign w:val="bottom"/>
            <w:gridSpan w:val="30"/>
          </w:tcPr>
          <w:p>
            <w:pPr>
              <w:ind w:left="20"/>
              <w:spacing w:after="0" w:line="190" w:lineRule="exact"/>
              <w:rPr>
                <w:rFonts w:ascii="Arial" w:cs="Arial" w:eastAsia="Arial" w:hAnsi="Arial"/>
                <w:sz w:val="18"/>
                <w:szCs w:val="18"/>
                <w:color w:val="0000FF"/>
              </w:rPr>
            </w:pPr>
            <w:hyperlink w:anchor="page102">
              <w:r>
                <w:rPr>
                  <w:rFonts w:ascii="Arial" w:cs="Arial" w:eastAsia="Arial" w:hAnsi="Arial"/>
                  <w:sz w:val="18"/>
                  <w:szCs w:val="18"/>
                  <w:color w:val="0000FF"/>
                </w:rPr>
                <w:t>Market for Registrant’s Common Equity, Related Stockholder Matters and Issuer Purchases of Equity Securities</w:t>
              </w:r>
            </w:hyperlink>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6.</w:t>
            </w:r>
          </w:p>
        </w:tc>
        <w:tc>
          <w:tcPr>
            <w:tcW w:w="700" w:type="dxa"/>
            <w:vAlign w:val="bottom"/>
            <w:tcBorders>
              <w:top w:val="single" w:sz="8" w:color="0000FF"/>
              <w:bottom w:val="single" w:sz="8" w:color="0000FF"/>
            </w:tcBorders>
            <w:gridSpan w:val="2"/>
          </w:tcPr>
          <w:p>
            <w:pPr>
              <w:ind w:left="20"/>
              <w:spacing w:after="0" w:line="169" w:lineRule="exact"/>
              <w:rPr>
                <w:rFonts w:ascii="Arial" w:cs="Arial" w:eastAsia="Arial" w:hAnsi="Arial"/>
                <w:sz w:val="18"/>
                <w:szCs w:val="18"/>
                <w:color w:val="0000FF"/>
                <w:w w:val="85"/>
              </w:rPr>
            </w:pPr>
            <w:hyperlink w:anchor="page103">
              <w:r>
                <w:rPr>
                  <w:rFonts w:ascii="Arial" w:cs="Arial" w:eastAsia="Arial" w:hAnsi="Arial"/>
                  <w:sz w:val="18"/>
                  <w:szCs w:val="18"/>
                  <w:color w:val="0000FF"/>
                  <w:w w:val="85"/>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380" w:type="dxa"/>
            <w:vAlign w:val="bottom"/>
            <w:tcBorders>
              <w:top w:val="single" w:sz="8" w:color="0000FF"/>
            </w:tcBorders>
            <w:gridSpan w:val="26"/>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7.</w:t>
            </w:r>
          </w:p>
        </w:tc>
        <w:tc>
          <w:tcPr>
            <w:tcW w:w="8940" w:type="dxa"/>
            <w:vAlign w:val="bottom"/>
            <w:gridSpan w:val="30"/>
          </w:tcPr>
          <w:p>
            <w:pPr>
              <w:ind w:left="20"/>
              <w:spacing w:after="0" w:line="169" w:lineRule="exact"/>
              <w:rPr>
                <w:rFonts w:ascii="Arial" w:cs="Arial" w:eastAsia="Arial" w:hAnsi="Arial"/>
                <w:sz w:val="18"/>
                <w:szCs w:val="18"/>
                <w:color w:val="0000FF"/>
              </w:rPr>
            </w:pPr>
            <w:hyperlink w:anchor="page104">
              <w:r>
                <w:rPr>
                  <w:rFonts w:ascii="Arial" w:cs="Arial" w:eastAsia="Arial" w:hAnsi="Arial"/>
                  <w:sz w:val="18"/>
                  <w:szCs w:val="18"/>
                  <w:color w:val="0000FF"/>
                </w:rPr>
                <w:t>Management’s Discussion and Analysis of Financial Condition and Results of Operations</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7A.</w:t>
            </w:r>
          </w:p>
        </w:tc>
        <w:tc>
          <w:tcPr>
            <w:tcW w:w="6480" w:type="dxa"/>
            <w:vAlign w:val="bottom"/>
            <w:tcBorders>
              <w:top w:val="single" w:sz="8" w:color="0000FF"/>
            </w:tcBorders>
            <w:gridSpan w:val="26"/>
          </w:tcPr>
          <w:p>
            <w:pPr>
              <w:ind w:left="20"/>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Quantitative and Qualitative Disclosures About Market Risk</w:t>
              </w:r>
            </w:hyperlink>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8.</w:t>
            </w:r>
          </w:p>
        </w:tc>
        <w:tc>
          <w:tcPr>
            <w:tcW w:w="3360" w:type="dxa"/>
            <w:vAlign w:val="bottom"/>
            <w:tcBorders>
              <w:top w:val="single" w:sz="8" w:color="0000FF"/>
              <w:bottom w:val="single" w:sz="8" w:color="0000FF"/>
            </w:tcBorders>
            <w:gridSpan w:val="18"/>
          </w:tcPr>
          <w:p>
            <w:pPr>
              <w:ind w:left="20"/>
              <w:spacing w:after="0" w:line="169" w:lineRule="exact"/>
              <w:rPr>
                <w:rFonts w:ascii="Arial" w:cs="Arial" w:eastAsia="Arial" w:hAnsi="Arial"/>
                <w:sz w:val="18"/>
                <w:szCs w:val="18"/>
                <w:color w:val="0000FF"/>
                <w:w w:val="89"/>
              </w:rPr>
            </w:pPr>
            <w:hyperlink w:anchor="page116">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4"/>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9.</w:t>
            </w:r>
          </w:p>
        </w:tc>
        <w:tc>
          <w:tcPr>
            <w:tcW w:w="8940" w:type="dxa"/>
            <w:vAlign w:val="bottom"/>
            <w:gridSpan w:val="30"/>
          </w:tcPr>
          <w:p>
            <w:pPr>
              <w:ind w:left="20"/>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Changes in and Disagreements With Accountants on Accounting and Financial Disclosure</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9A.</w:t>
            </w:r>
          </w:p>
        </w:tc>
        <w:tc>
          <w:tcPr>
            <w:tcW w:w="6540" w:type="dxa"/>
            <w:vAlign w:val="bottom"/>
            <w:tcBorders>
              <w:top w:val="single" w:sz="8" w:color="0000FF"/>
            </w:tcBorders>
            <w:gridSpan w:val="27"/>
          </w:tcPr>
          <w:p>
            <w:pPr>
              <w:ind w:left="20"/>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Controls and Procedures</w:t>
              </w:r>
            </w:hyperlink>
          </w:p>
        </w:tc>
        <w:tc>
          <w:tcPr>
            <w:tcW w:w="780" w:type="dxa"/>
            <w:vAlign w:val="bottom"/>
          </w:tcPr>
          <w:p>
            <w:pPr>
              <w:spacing w:after="0"/>
              <w:rPr>
                <w:sz w:val="14"/>
                <w:szCs w:val="14"/>
                <w:color w:val="auto"/>
              </w:rPr>
            </w:pPr>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9B.</w:t>
            </w:r>
          </w:p>
        </w:tc>
        <w:tc>
          <w:tcPr>
            <w:tcW w:w="1340" w:type="dxa"/>
            <w:vAlign w:val="bottom"/>
            <w:tcBorders>
              <w:top w:val="single" w:sz="8" w:color="0000FF"/>
              <w:bottom w:val="single" w:sz="8" w:color="0000FF"/>
            </w:tcBorders>
            <w:gridSpan w:val="8"/>
          </w:tcPr>
          <w:p>
            <w:pPr>
              <w:ind w:left="20"/>
              <w:spacing w:after="0" w:line="169" w:lineRule="exact"/>
              <w:rPr>
                <w:rFonts w:ascii="Arial" w:cs="Arial" w:eastAsia="Arial" w:hAnsi="Arial"/>
                <w:sz w:val="18"/>
                <w:szCs w:val="18"/>
                <w:color w:val="0000FF"/>
                <w:w w:val="92"/>
              </w:rPr>
            </w:pPr>
            <w:hyperlink w:anchor="page143">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4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spacing w:after="0"/>
              <w:rPr>
                <w:sz w:val="14"/>
                <w:szCs w:val="14"/>
                <w:color w:val="auto"/>
              </w:rPr>
            </w:pPr>
          </w:p>
        </w:tc>
        <w:tc>
          <w:tcPr>
            <w:tcW w:w="80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9C.</w:t>
            </w:r>
          </w:p>
        </w:tc>
        <w:tc>
          <w:tcPr>
            <w:tcW w:w="8940" w:type="dxa"/>
            <w:vAlign w:val="bottom"/>
            <w:gridSpan w:val="30"/>
          </w:tcPr>
          <w:p>
            <w:pPr>
              <w:ind w:left="20"/>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Disclosure Regarding Foreign Jurisdictions that Prevent Inspections</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5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tcPr>
          <w:p>
            <w:pPr>
              <w:ind w:left="100"/>
              <w:spacing w:after="0" w:line="190" w:lineRule="exact"/>
              <w:rPr>
                <w:sz w:val="20"/>
                <w:szCs w:val="20"/>
                <w:color w:val="auto"/>
              </w:rPr>
            </w:pPr>
            <w:r>
              <w:rPr>
                <w:rFonts w:ascii="Arial" w:cs="Arial" w:eastAsia="Arial" w:hAnsi="Arial"/>
                <w:sz w:val="18"/>
                <w:szCs w:val="18"/>
                <w:color w:val="auto"/>
              </w:rPr>
              <w:t>Item 10.</w:t>
            </w:r>
          </w:p>
        </w:tc>
        <w:tc>
          <w:tcPr>
            <w:tcW w:w="8940" w:type="dxa"/>
            <w:vAlign w:val="bottom"/>
            <w:gridSpan w:val="30"/>
          </w:tcPr>
          <w:p>
            <w:pPr>
              <w:ind w:left="20"/>
              <w:spacing w:after="0" w:line="190" w:lineRule="exact"/>
              <w:rPr>
                <w:rFonts w:ascii="Arial" w:cs="Arial" w:eastAsia="Arial" w:hAnsi="Arial"/>
                <w:sz w:val="18"/>
                <w:szCs w:val="18"/>
                <w:color w:val="0000FF"/>
              </w:rPr>
            </w:pPr>
            <w:hyperlink w:anchor="page145">
              <w:r>
                <w:rPr>
                  <w:rFonts w:ascii="Arial" w:cs="Arial" w:eastAsia="Arial" w:hAnsi="Arial"/>
                  <w:sz w:val="18"/>
                  <w:szCs w:val="18"/>
                  <w:color w:val="0000FF"/>
                </w:rPr>
                <w:t>Directors, Executive Officers and Corporate Governance</w:t>
              </w:r>
            </w:hyperlink>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11.</w:t>
            </w:r>
          </w:p>
        </w:tc>
        <w:tc>
          <w:tcPr>
            <w:tcW w:w="4120" w:type="dxa"/>
            <w:vAlign w:val="bottom"/>
            <w:tcBorders>
              <w:top w:val="single" w:sz="8" w:color="0000FF"/>
            </w:tcBorders>
            <w:gridSpan w:val="21"/>
          </w:tcPr>
          <w:p>
            <w:pPr>
              <w:ind w:left="20"/>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Executive Compensation</w:t>
              </w:r>
            </w:hyperlink>
          </w:p>
        </w:tc>
        <w:tc>
          <w:tcPr>
            <w:tcW w:w="1360" w:type="dxa"/>
            <w:vAlign w:val="bottom"/>
            <w:gridSpan w:val="4"/>
          </w:tcPr>
          <w:p>
            <w:pPr>
              <w:spacing w:after="0"/>
              <w:rPr>
                <w:sz w:val="14"/>
                <w:szCs w:val="14"/>
                <w:color w:val="auto"/>
              </w:rPr>
            </w:pPr>
          </w:p>
        </w:tc>
        <w:tc>
          <w:tcPr>
            <w:tcW w:w="1840" w:type="dxa"/>
            <w:vAlign w:val="bottom"/>
            <w:gridSpan w:val="3"/>
          </w:tcPr>
          <w:p>
            <w:pPr>
              <w:spacing w:after="0"/>
              <w:rPr>
                <w:sz w:val="14"/>
                <w:szCs w:val="14"/>
                <w:color w:val="auto"/>
              </w:rPr>
            </w:pPr>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12.</w:t>
            </w:r>
          </w:p>
        </w:tc>
        <w:tc>
          <w:tcPr>
            <w:tcW w:w="1820" w:type="dxa"/>
            <w:vAlign w:val="bottom"/>
            <w:tcBorders>
              <w:top w:val="single" w:sz="8" w:color="0000FF"/>
            </w:tcBorders>
            <w:gridSpan w:val="13"/>
          </w:tcPr>
          <w:p>
            <w:pPr>
              <w:ind w:left="20"/>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4"/>
                <w:szCs w:val="14"/>
                <w:color w:val="auto"/>
              </w:rPr>
            </w:pPr>
          </w:p>
        </w:tc>
        <w:tc>
          <w:tcPr>
            <w:tcW w:w="7100" w:type="dxa"/>
            <w:vAlign w:val="bottom"/>
            <w:gridSpan w:val="16"/>
          </w:tcPr>
          <w:p>
            <w:pPr>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Certain Beneficial Owners and Management and Related Stockholder Matters</w:t>
              </w:r>
            </w:hyperlink>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13.</w:t>
            </w:r>
          </w:p>
        </w:tc>
        <w:tc>
          <w:tcPr>
            <w:tcW w:w="7320" w:type="dxa"/>
            <w:vAlign w:val="bottom"/>
            <w:tcBorders>
              <w:top w:val="single" w:sz="8" w:color="0000FF"/>
            </w:tcBorders>
            <w:gridSpan w:val="28"/>
          </w:tcPr>
          <w:p>
            <w:pPr>
              <w:ind w:left="20"/>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Certain Relationships and Related Transactions, and Director Independence</w:t>
              </w:r>
            </w:hyperlink>
          </w:p>
        </w:tc>
        <w:tc>
          <w:tcPr>
            <w:tcW w:w="1620" w:type="dxa"/>
            <w:vAlign w:val="bottom"/>
            <w:gridSpan w:val="2"/>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14.</w:t>
            </w:r>
          </w:p>
        </w:tc>
        <w:tc>
          <w:tcPr>
            <w:tcW w:w="5480" w:type="dxa"/>
            <w:vAlign w:val="bottom"/>
            <w:tcBorders>
              <w:top w:val="single" w:sz="8" w:color="0000FF"/>
            </w:tcBorders>
            <w:gridSpan w:val="25"/>
          </w:tcPr>
          <w:p>
            <w:pPr>
              <w:ind w:left="20"/>
              <w:spacing w:after="0" w:line="169" w:lineRule="exact"/>
              <w:rPr>
                <w:rFonts w:ascii="Arial" w:cs="Arial" w:eastAsia="Arial" w:hAnsi="Arial"/>
                <w:sz w:val="18"/>
                <w:szCs w:val="18"/>
                <w:color w:val="0000FF"/>
              </w:rPr>
            </w:pPr>
            <w:hyperlink w:anchor="page145">
              <w:r>
                <w:rPr>
                  <w:rFonts w:ascii="Arial" w:cs="Arial" w:eastAsia="Arial" w:hAnsi="Arial"/>
                  <w:sz w:val="18"/>
                  <w:szCs w:val="18"/>
                  <w:color w:val="0000FF"/>
                </w:rPr>
                <w:t>Principal Accountant Fees and Services</w:t>
              </w:r>
            </w:hyperlink>
          </w:p>
        </w:tc>
        <w:tc>
          <w:tcPr>
            <w:tcW w:w="3460" w:type="dxa"/>
            <w:vAlign w:val="bottom"/>
            <w:gridSpan w:val="5"/>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5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20" w:type="dxa"/>
            <w:vAlign w:val="bottom"/>
          </w:tcPr>
          <w:p>
            <w:pPr>
              <w:ind w:left="100"/>
              <w:spacing w:after="0" w:line="190" w:lineRule="exact"/>
              <w:rPr>
                <w:sz w:val="20"/>
                <w:szCs w:val="20"/>
                <w:color w:val="auto"/>
              </w:rPr>
            </w:pPr>
            <w:r>
              <w:rPr>
                <w:rFonts w:ascii="Arial" w:cs="Arial" w:eastAsia="Arial" w:hAnsi="Arial"/>
                <w:sz w:val="18"/>
                <w:szCs w:val="18"/>
                <w:color w:val="auto"/>
              </w:rPr>
              <w:t>Item 15.</w:t>
            </w:r>
          </w:p>
        </w:tc>
        <w:tc>
          <w:tcPr>
            <w:tcW w:w="8940" w:type="dxa"/>
            <w:vAlign w:val="bottom"/>
            <w:gridSpan w:val="30"/>
          </w:tcPr>
          <w:p>
            <w:pPr>
              <w:ind w:left="20"/>
              <w:spacing w:after="0" w:line="190" w:lineRule="exact"/>
              <w:rPr>
                <w:rFonts w:ascii="Arial" w:cs="Arial" w:eastAsia="Arial" w:hAnsi="Arial"/>
                <w:sz w:val="18"/>
                <w:szCs w:val="18"/>
                <w:color w:val="0000FF"/>
              </w:rPr>
            </w:pPr>
            <w:hyperlink w:anchor="page146">
              <w:r>
                <w:rPr>
                  <w:rFonts w:ascii="Arial" w:cs="Arial" w:eastAsia="Arial" w:hAnsi="Arial"/>
                  <w:sz w:val="18"/>
                  <w:szCs w:val="18"/>
                  <w:color w:val="0000FF"/>
                </w:rPr>
                <w:t>Exhibit and Financial Statement Schedules</w:t>
              </w:r>
            </w:hyperlink>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00"/>
              <w:spacing w:after="0" w:line="169" w:lineRule="exact"/>
              <w:rPr>
                <w:sz w:val="20"/>
                <w:szCs w:val="20"/>
                <w:color w:val="auto"/>
              </w:rPr>
            </w:pPr>
            <w:r>
              <w:rPr>
                <w:rFonts w:ascii="Arial" w:cs="Arial" w:eastAsia="Arial" w:hAnsi="Arial"/>
                <w:sz w:val="18"/>
                <w:szCs w:val="18"/>
                <w:color w:val="auto"/>
              </w:rPr>
              <w:t>Item 16</w:t>
            </w:r>
          </w:p>
        </w:tc>
        <w:tc>
          <w:tcPr>
            <w:tcW w:w="1580" w:type="dxa"/>
            <w:vAlign w:val="bottom"/>
            <w:tcBorders>
              <w:top w:val="single" w:sz="8" w:color="0000FF"/>
              <w:bottom w:val="single" w:sz="8" w:color="0000FF"/>
            </w:tcBorders>
            <w:gridSpan w:val="11"/>
          </w:tcPr>
          <w:p>
            <w:pPr>
              <w:ind w:left="20"/>
              <w:spacing w:after="0" w:line="169" w:lineRule="exact"/>
              <w:rPr>
                <w:rFonts w:ascii="Arial" w:cs="Arial" w:eastAsia="Arial" w:hAnsi="Arial"/>
                <w:sz w:val="18"/>
                <w:szCs w:val="18"/>
                <w:color w:val="0000FF"/>
                <w:w w:val="92"/>
              </w:rPr>
            </w:pPr>
            <w:hyperlink w:anchor="page148">
              <w:r>
                <w:rPr>
                  <w:rFonts w:ascii="Arial" w:cs="Arial" w:eastAsia="Arial" w:hAnsi="Arial"/>
                  <w:sz w:val="18"/>
                  <w:szCs w:val="18"/>
                  <w:color w:val="0000FF"/>
                  <w:w w:val="92"/>
                </w:rPr>
                <w:t>Form 10-K Summary</w:t>
              </w:r>
            </w:hyperlink>
          </w:p>
        </w:tc>
        <w:tc>
          <w:tcPr>
            <w:tcW w:w="1540" w:type="dxa"/>
            <w:vAlign w:val="bottom"/>
            <w:tcBorders>
              <w:top w:val="single" w:sz="8" w:color="0000FF"/>
            </w:tcBorders>
            <w:gridSpan w:val="6"/>
          </w:tcPr>
          <w:p>
            <w:pPr>
              <w:spacing w:after="0"/>
              <w:rPr>
                <w:sz w:val="14"/>
                <w:szCs w:val="14"/>
                <w:color w:val="auto"/>
              </w:rPr>
            </w:pPr>
          </w:p>
        </w:tc>
        <w:tc>
          <w:tcPr>
            <w:tcW w:w="5820" w:type="dxa"/>
            <w:vAlign w:val="bottom"/>
            <w:gridSpan w:val="13"/>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This Annual Report on Form 10-K, or this Annual Report, contains forward-looking statements within the meaning of the federal securities laws made pursuant to the safe harbor provisions of the Private Securities Litigation Reform Act of 1995. All statements other than statements of historical facts contained in this Annual Report, including statements regarding our future results of operations and financial position, business strategy, research and development costs; the anticipated timing, costs and conduct of our clinical trials for our only product candidate, tildacerfont; the timing and likelihood of regulatory filings and approvals for tildacerfont; our ability to commercialize tildacerfont, if approved; the pricing and reimbursement of tildacerfont, if approved; the potential benefits of strategic collaborations and our ability to enter into strategic arrangements; the timing and likelihood of success, plans and objectives of management for future operations; future results of anticipated product development efforts; and our expected future financing needs,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titled “Risk Factors” and “Management’s Discussion and Analysis of Financial Condition and Results of Operations”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Securities and Exchange Commission, or SEC, after the date of this Annual Report.</w:t>
      </w:r>
    </w:p>
    <w:p>
      <w:pPr>
        <w:spacing w:after="0" w:line="17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ASSOCIATED WITH OUR BUSINESSES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3" w:lineRule="exact"/>
        <w:rPr>
          <w:sz w:val="20"/>
          <w:szCs w:val="20"/>
          <w:color w:val="auto"/>
        </w:rPr>
      </w:pPr>
    </w:p>
    <w:p>
      <w:pPr>
        <w:ind w:left="1020" w:right="3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3"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20" w:right="20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9" w:lineRule="exact"/>
        <w:rPr>
          <w:rFonts w:ascii="Arial" w:cs="Arial" w:eastAsia="Arial" w:hAnsi="Arial"/>
          <w:sz w:val="18"/>
          <w:szCs w:val="18"/>
          <w:color w:val="auto"/>
        </w:rPr>
      </w:pPr>
    </w:p>
    <w:p>
      <w:pPr>
        <w:ind w:left="1020" w:right="280" w:hanging="503"/>
        <w:spacing w:after="0" w:line="270"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1020" w:right="300" w:hanging="503"/>
        <w:spacing w:after="0" w:line="26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4" w:lineRule="exact"/>
        <w:rPr>
          <w:rFonts w:ascii="Arial" w:cs="Arial" w:eastAsia="Arial" w:hAnsi="Arial"/>
          <w:sz w:val="17"/>
          <w:szCs w:val="17"/>
          <w:color w:val="auto"/>
        </w:rPr>
      </w:pPr>
    </w:p>
    <w:p>
      <w:pPr>
        <w:ind w:left="1020" w:right="2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w:t>
      </w:r>
    </w:p>
    <w:p>
      <w:pPr>
        <w:spacing w:after="0" w:line="35" w:lineRule="exact"/>
        <w:rPr>
          <w:sz w:val="20"/>
          <w:szCs w:val="20"/>
          <w:color w:val="auto"/>
        </w:rPr>
      </w:pPr>
    </w:p>
    <w:p>
      <w:pPr>
        <w:ind w:left="1020"/>
        <w:spacing w:after="0" w:line="264" w:lineRule="auto"/>
        <w:rPr>
          <w:sz w:val="20"/>
          <w:szCs w:val="20"/>
          <w:color w:val="auto"/>
        </w:rPr>
      </w:pPr>
      <w:r>
        <w:rPr>
          <w:rFonts w:ascii="Arial" w:cs="Arial" w:eastAsia="Arial" w:hAnsi="Arial"/>
          <w:sz w:val="16"/>
          <w:szCs w:val="16"/>
          <w:color w:val="auto"/>
        </w:rPr>
        <w:t>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jc w:val="both"/>
        <w:ind w:left="1020" w:right="8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20" w:right="80" w:hanging="503"/>
        <w:spacing w:after="0" w:line="28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over 200 subjects across eight clinical trials to date have been administered tildacerfont with no drug-related serious adverse events, or SAEs, reported.</w:t>
      </w:r>
    </w:p>
    <w:p>
      <w:pPr>
        <w:spacing w:after="0" w:line="18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FDA and certain comparable foreign regulatory authorities to discuss registration.</w:t>
      </w:r>
    </w:p>
    <w:p>
      <w:pPr>
        <w:spacing w:after="0" w:line="180" w:lineRule="exact"/>
        <w:rPr>
          <w:sz w:val="20"/>
          <w:szCs w:val="20"/>
          <w:color w:val="auto"/>
        </w:rPr>
      </w:pPr>
    </w:p>
    <w:p>
      <w:pPr>
        <w:jc w:val="both"/>
        <w:ind w:right="100" w:firstLine="509"/>
        <w:spacing w:after="0" w:line="284" w:lineRule="auto"/>
        <w:rPr>
          <w:sz w:val="20"/>
          <w:szCs w:val="20"/>
          <w:color w:val="auto"/>
        </w:rPr>
      </w:pPr>
      <w:r>
        <w:rPr>
          <w:rFonts w:ascii="Arial" w:cs="Arial" w:eastAsia="Arial" w:hAnsi="Arial"/>
          <w:sz w:val="16"/>
          <w:szCs w:val="16"/>
          <w:color w:val="auto"/>
        </w:rPr>
        <w:t>Classic CAH is an autosomal recessive disease, driven by a mutation in the gene that encodes an enzyme necessary for the synthesis of key adrenal hormones. In classic CAH patients, the body is not able to produce cortisol, leading to serious health consequences. In the absence of cortisol, patients can face adrenal crisis and death rapidly as a result of any stressing event, such as infection. Physicians administer replacement steroid hormones to reduce the risk of adrenal crises and death; however, replacement alone is not sufficient to address all of the consequences associated with classic CAH.</w:t>
      </w:r>
    </w:p>
    <w:p>
      <w:pPr>
        <w:spacing w:after="0" w:line="15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absence of cortisol alters the normal feedback cycle of the hypothalamic-pituitary-adrenal, or HPA, axis, and leads to excess secretion of ACTH, hyperplasia of the adrenal gland, and consequently high levels of endogenous androgen production. As a result, classic CAH patients suffer from premature puberty, impaired fertility, hirsutism, acne, the development of adrenal rest tumors, and an impaired quality of life, and additionally for females, virilized genitalia and menstrual irregularities. Currently, the only way to downregulate the production of excess androgens in classic CAH patients is to administer even higher doses of glucocorticoids, known as supraphysiologic glucocorticoid dosing. These elevated dose levels present specific side effects, including increased risks of developing diabetes, cardiovascular disease, stunted growth, osteoporosis, thin skin, gastrointestinal disorders, and decreased lifespan.</w:t>
      </w:r>
    </w:p>
    <w:p>
      <w:pPr>
        <w:spacing w:after="0" w:line="191" w:lineRule="exact"/>
        <w:rPr>
          <w:sz w:val="20"/>
          <w:szCs w:val="20"/>
          <w:color w:val="auto"/>
        </w:rPr>
      </w:pPr>
    </w:p>
    <w:p>
      <w:pPr>
        <w:ind w:right="180" w:firstLine="509"/>
        <w:spacing w:after="0" w:line="267" w:lineRule="auto"/>
        <w:rPr>
          <w:sz w:val="20"/>
          <w:szCs w:val="20"/>
          <w:color w:val="auto"/>
        </w:rPr>
      </w:pPr>
      <w:r>
        <w:rPr>
          <w:rFonts w:ascii="Arial" w:cs="Arial" w:eastAsia="Arial" w:hAnsi="Arial"/>
          <w:sz w:val="16"/>
          <w:szCs w:val="16"/>
          <w:color w:val="auto"/>
        </w:rPr>
        <w:t>Due to the severity of the disease, most developed countries have established newborn screening programs to test for classic CAH at birth. Infants diagnosed with classic CAH are generally initiated on glucocorticoid therapy at the time of diagnosis and lifelong disease management with steroids is required, with pediatric patients generally transitioning into the care of adult endocrinologists between the ages of 18 and 21. Due to the complexity of management of classic CAH, in the United States, patients are generally managed within specialty endocrinology clinics, and in the European Union, or EU, most countries have a small number of centers of excellence addressing the population. We estimate the total classic CAH populations are approximately 20,000 to 30,000 people in the United States and approximately 50,000 people in the EU, and, according to the National Organization for Rare Disorders, the estimated incidence of classic CAH in the United States and Europe is between one in 10,000 and one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in 15,000 live births. In addition, we estimate based on industry reports that the global market opportunity in patients with classic CAH is at least approximately $3.0 billion.</w:t>
      </w:r>
    </w:p>
    <w:p>
      <w:pPr>
        <w:spacing w:after="0" w:line="17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Tildacerfont is a potent and highly selective, non-steroidal, oral antagonist of the CRF1 receptor, which is the receptor for corticotropin-releasing factor, or CRF, a hormone that is secreted by the hypothalamus. The CRF1 receptor is abundantly expressed in the pituitary gland where it is the primary regulator of the HPA axis. By blocking the CRF1 receptor, tildacerfont has the potential to address the uncontrolled cortisol feedback regulatory pathway in CAH, and in turn reduce the production of ACTH in the pituitary, limiting the amount of androgen produced downstream from the adrenal gland. We believe that by controlling excess adrenal androgens through an independent mechanism, tildacerfont could reduce the unwanted clinical symptoms associated with high androgen exposure. Tildacerfont use could also enable treating physicians to lower the supraphysiologic glucocorticoid doses given to classic CAH patients to near physiologic levels, thus reducing or avoiding the long-term and serious side effects associated with the chronic use of high dose glucocorticoids.</w:t>
      </w:r>
    </w:p>
    <w:p>
      <w:pPr>
        <w:spacing w:after="0" w:line="19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Tildacerfont has been evaluated in over 200 patients across eight clinical trials in which it has been generally well tolerated. No drug-related SAEs have been reported related to tildacerfont treatment. To date, we have completed two Phase 2 clinical trials in patients with classic CAH, comprising of a two-week proof-of-mechanism dose ranging clinical trial, and a 12-week proof-of-concept clinical trial, in which we observed that tildacerfont led to the decrease in the levels of a series of hormones associated with adrenal hyperplasia and androgen synthesis, both of which are key indicators of poor disease control. In our 12-week clinical trial, among patients with highly elevated hormones and androgens at baseline, 60% achieved normalization of ACTH, one subject at week two prior to discontinuation and two subjects during month three, and 40% achieved normalization of androstenedione, or A4, during month three. A4 is an androgen steroid routinely used as a biomarker of androgen synthesis by the adrenal gland.</w:t>
      </w:r>
    </w:p>
    <w:p>
      <w:pPr>
        <w:spacing w:after="0" w:line="16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Through our clinical trials completed to date, we have conducted post-hoc analyses of two distinct groups of classic CAH patients, both on stable standard-of-care glucocorticoids: those who have poor disease control, as evidenced by highly elevated hormones and androgens at baseline; and those who have good disease control, as evidenced by hormones and androgens that are close to or within the normal range at baseline. In patients with poor disease control, we believe that the dose of glucocorticoids being administered was insufficient on its own to suppress adrenal hyperplasia and androgen synthesis. Patients with poor disease control may be intolerant to higher glucocorticoid doses or unwilling to accept the negative consequences resulting from chronic use of high doses of glucocorticoids. In patients with poor disease control, the addition of tildacerfont provided a potential non-steroidal solution to control excess androgen synthesis. Patients receiving tildacerfont showed reduced levels of disease-driving hormones and androgens by a mean of approximately 80%, resulting in levels close to those found in healthy adults without any changes to the glucocorticoid dosing in these patients.</w:t>
      </w:r>
    </w:p>
    <w:p>
      <w:pPr>
        <w:spacing w:after="0" w:line="168"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observed that classic CAH patients in our clinical trials with good disease control upon trial enrollment were receiving glucocorticoid doses approximately 44% higher than those patients with poor disease control. Dosing of tildacerfont in patients with good disease control was well tolerated and did not lead to further suppression of adrenal function or androgen synthesis. In these patients, tildacerfont may be able to allow a significant reduction in glucocorticoid dosing while continuing to maintain normal levels of androgens. Based on the strength of our clinical results to date, we believe tildacerfont has the potential to offer improved clinical outcomes for both poor disease control and good disease control classic CAH patients.</w:t>
      </w:r>
    </w:p>
    <w:p>
      <w:pPr>
        <w:spacing w:after="0" w:line="15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initiated CAHmelia-203, a double-blind, placebo-controlled Phase 2b clinical trial in adult patients with classic CAH who have poor disease control despite stable glucocorticoid dosing. The goals of this clinical trial are to: (i) assess the ability of three dose levels of tildacerfont to reduce the levels of disease associated hormones and androgens over a period of 12 weeks; (ii) assess the impact of dose-titration of tildacerfont to further improve these hormone and androgen levels over 12 weeks; (iii) assess clinical outcomes that result from hormone reductions over 70 weeks; and (iv) assess the long-term safety of tildacerfont over 70 weeks. We have also initiated CAHmelia-204, a second Phase 2b clinical trial in adult patients with classic CAH with good disease control focused on glucocorticoid reduction. The goals of this clinical trial are to: (i) evaluate the ability of tildacerfont to allow clinically meaningful reductions in glucocorticoid dosing over periods of 24 and 76 weeks while maintaining good disease control; (ii) assess the combined impact of tildacerfont administration and glucocorticoid reduction on improving clinical outcomes at week 24 and after 52 weeks of tildacerfont treatment; and (iii) assess the long-term</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safety of tildacerfont over 76 weeks. 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registration.</w:t>
      </w:r>
    </w:p>
    <w:p>
      <w:pPr>
        <w:spacing w:after="0" w:line="19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addition, we are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We have also submitted a pediatric investigational plan, or PIP, to the Pediatric Committee, or PDCO, of the European Medicines Agency, or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184"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own worldwide development and commercialization rights for tildacerfont. We intend to build a highly specialized commercial organization to support the commercialization of tildacerfont, if approved, in the United States and Europe.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9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have developed and continue to expand our extensive patent portfolio for tildacerfont, covering composition of matter, method of synthesis, formulation, and use. We have also been granted orphan drug designation for tildacerfont for the treatment of CAH both in the United States and the EU. We have assembled a highly experienced team with broad capabilities in drug discovery, development, and commercialization. Javier Szwarcberg, M.D., MPH, our Chief Executive Officer, previously served as Group Vice President and Head of Program and Portfolio Development for BioMarin Pharmaceuticals. Previously, he held positions as Senior Vice President, Head of Program and Portfolio Management at Ultragenyx Pharmaceutical and Vice President of R&amp;D and Business Development at Horizon Pharma. Samir Gharib, our President and Chief Financial Officer, previously served as Chief Financial Officer at Stemedica Cell Technologies and prior to that in executive finance roles at Revance Therapeutics, Inc. and Talon Therapeutics, Inc.</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Plan for Tildacerfont</w:t>
      </w:r>
    </w:p>
    <w:p>
      <w:pPr>
        <w:spacing w:after="0" w:line="10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are investigating tildacerfont in orphan indications where the underlying disease biology supports a need to reduce excess secretion of or hyperresponsiveness to ACTH. We are currently in late-stage clinical development for tildacerfont in adult patients with classic CAH. We have initiated the CAHmelia-203 trial in adult patients with classic CAH with poor disease control and anticipate topline results in the second half of 2023. We have also initiated the CAHmelia-204 trial in adult patients with classic CAH with good disease control focused on glucocorticoid reduction and anticipate topline results in the second half of 2024. 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registration.</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We have also submitted a PIP to PDCO of the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168"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Polycystic ovary syndrome, or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and elevated adrenal androgens.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200mg once daily, or QD, compared to placebo over 12 weeks of treatment in subjects with PCOS and elevated adrenal androgens as measured by dehydroepiandrosterone sulfate, or DHEAS, levels at baseline. We anticipate topline results from the Phase 2 proof-of-concept clinical trial by the first half of 2023.</w:t>
      </w:r>
    </w:p>
    <w:p>
      <w:pPr>
        <w:spacing w:after="0" w:line="18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Beyond classic CAH and PCOS, we believe tildacerfont has potential utility in a range of diseases where the underlying biology supports a need to reduce excess secretion of or hyperresponsiveness to adrenocorticotropic hormone, or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development plan for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1243965</wp:posOffset>
            </wp:positionH>
            <wp:positionV relativeFrom="paragraph">
              <wp:posOffset>139065</wp:posOffset>
            </wp:positionV>
            <wp:extent cx="33655"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148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139065</wp:posOffset>
            </wp:positionV>
            <wp:extent cx="3429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11480"/>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139065</wp:posOffset>
            </wp:positionV>
            <wp:extent cx="3365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1480"/>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1980" w:type="dxa"/>
            <w:vAlign w:val="bottom"/>
            <w:tcBorders>
              <w:top w:val="single" w:sz="8" w:color="auto"/>
              <w:left w:val="single" w:sz="8" w:color="auto"/>
              <w:right w:val="single" w:sz="8" w:color="3ADBB5"/>
            </w:tcBorders>
            <w:shd w:val="clear" w:color="auto" w:fill="3ADBB5"/>
          </w:tcPr>
          <w:p>
            <w:pPr>
              <w:jc w:val="center"/>
              <w:ind w:left="70"/>
              <w:spacing w:after="0"/>
              <w:rPr>
                <w:sz w:val="20"/>
                <w:szCs w:val="20"/>
                <w:color w:val="auto"/>
              </w:rPr>
            </w:pPr>
            <w:r>
              <w:rPr>
                <w:rFonts w:ascii="Arial" w:cs="Arial" w:eastAsia="Arial" w:hAnsi="Arial"/>
                <w:sz w:val="18"/>
                <w:szCs w:val="18"/>
                <w:b w:val="1"/>
                <w:bCs w:val="1"/>
                <w:color w:val="FFFFFF"/>
                <w:w w:val="91"/>
              </w:rPr>
              <w:t>Product</w:t>
            </w:r>
          </w:p>
        </w:tc>
        <w:tc>
          <w:tcPr>
            <w:tcW w:w="2880" w:type="dxa"/>
            <w:vAlign w:val="bottom"/>
            <w:tcBorders>
              <w:top w:val="single" w:sz="8" w:color="auto"/>
              <w:left w:val="single" w:sz="8" w:color="3ADBB5"/>
              <w:right w:val="single" w:sz="8" w:color="3ADBB5"/>
            </w:tcBorders>
            <w:vMerge w:val="restart"/>
            <w:shd w:val="clear" w:color="auto" w:fill="3ADBB5"/>
          </w:tcPr>
          <w:p>
            <w:pPr>
              <w:jc w:val="center"/>
              <w:spacing w:after="0"/>
              <w:rPr>
                <w:sz w:val="20"/>
                <w:szCs w:val="20"/>
                <w:color w:val="auto"/>
              </w:rPr>
            </w:pPr>
            <w:r>
              <w:rPr>
                <w:rFonts w:ascii="Arial" w:cs="Arial" w:eastAsia="Arial" w:hAnsi="Arial"/>
                <w:sz w:val="18"/>
                <w:szCs w:val="18"/>
                <w:b w:val="1"/>
                <w:bCs w:val="1"/>
                <w:color w:val="FFFFFF"/>
                <w:w w:val="94"/>
              </w:rPr>
              <w:t>Indication</w:t>
            </w:r>
          </w:p>
        </w:tc>
        <w:tc>
          <w:tcPr>
            <w:tcW w:w="3240" w:type="dxa"/>
            <w:vAlign w:val="bottom"/>
            <w:tcBorders>
              <w:top w:val="single" w:sz="8" w:color="auto"/>
              <w:right w:val="single" w:sz="8" w:color="3ADBB5"/>
            </w:tcBorders>
            <w:vMerge w:val="restart"/>
            <w:shd w:val="clear" w:color="auto" w:fill="3ADBB5"/>
          </w:tcPr>
          <w:p>
            <w:pPr>
              <w:ind w:left="1400"/>
              <w:spacing w:after="0"/>
              <w:rPr>
                <w:sz w:val="20"/>
                <w:szCs w:val="20"/>
                <w:color w:val="auto"/>
              </w:rPr>
            </w:pPr>
            <w:r>
              <w:rPr>
                <w:rFonts w:ascii="Arial" w:cs="Arial" w:eastAsia="Arial" w:hAnsi="Arial"/>
                <w:sz w:val="18"/>
                <w:szCs w:val="18"/>
                <w:b w:val="1"/>
                <w:bCs w:val="1"/>
                <w:color w:val="FFFFFF"/>
              </w:rPr>
              <w:t>Status</w:t>
            </w:r>
          </w:p>
        </w:tc>
        <w:tc>
          <w:tcPr>
            <w:tcW w:w="280" w:type="dxa"/>
            <w:vAlign w:val="bottom"/>
            <w:tcBorders>
              <w:top w:val="single" w:sz="8" w:color="auto"/>
            </w:tcBorders>
            <w:shd w:val="clear" w:color="auto" w:fill="3ADBB5"/>
          </w:tcPr>
          <w:p>
            <w:pPr>
              <w:spacing w:after="0"/>
              <w:rPr>
                <w:sz w:val="24"/>
                <w:szCs w:val="24"/>
                <w:color w:val="auto"/>
              </w:rPr>
            </w:pPr>
          </w:p>
        </w:tc>
        <w:tc>
          <w:tcPr>
            <w:tcW w:w="2860" w:type="dxa"/>
            <w:vAlign w:val="bottom"/>
            <w:tcBorders>
              <w:top w:val="single" w:sz="8" w:color="auto"/>
              <w:right w:val="single" w:sz="8" w:color="auto"/>
            </w:tcBorders>
            <w:vMerge w:val="restart"/>
            <w:shd w:val="clear" w:color="auto" w:fill="3ADBB5"/>
          </w:tcPr>
          <w:p>
            <w:pPr>
              <w:ind w:left="200"/>
              <w:spacing w:after="0"/>
              <w:rPr>
                <w:sz w:val="20"/>
                <w:szCs w:val="20"/>
                <w:color w:val="auto"/>
              </w:rPr>
            </w:pPr>
            <w:r>
              <w:rPr>
                <w:rFonts w:ascii="Arial" w:cs="Arial" w:eastAsia="Arial" w:hAnsi="Arial"/>
                <w:sz w:val="18"/>
                <w:szCs w:val="18"/>
                <w:b w:val="1"/>
                <w:bCs w:val="1"/>
                <w:color w:val="FFFFFF"/>
              </w:rPr>
              <w:t>Key Anticipated Milestone(s)</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3ADBB5"/>
            </w:tcBorders>
            <w:vMerge w:val="restart"/>
            <w:shd w:val="clear" w:color="auto" w:fill="3ADBB5"/>
          </w:tcPr>
          <w:p>
            <w:pPr>
              <w:jc w:val="center"/>
              <w:ind w:left="10"/>
              <w:spacing w:after="0"/>
              <w:rPr>
                <w:sz w:val="20"/>
                <w:szCs w:val="20"/>
                <w:color w:val="auto"/>
              </w:rPr>
            </w:pPr>
            <w:r>
              <w:rPr>
                <w:rFonts w:ascii="Arial" w:cs="Arial" w:eastAsia="Arial" w:hAnsi="Arial"/>
                <w:sz w:val="18"/>
                <w:szCs w:val="18"/>
                <w:b w:val="1"/>
                <w:bCs w:val="1"/>
                <w:color w:val="FFFFFF"/>
                <w:w w:val="91"/>
              </w:rPr>
              <w:t>Candidate</w:t>
            </w:r>
          </w:p>
        </w:tc>
        <w:tc>
          <w:tcPr>
            <w:tcW w:w="2880" w:type="dxa"/>
            <w:vAlign w:val="bottom"/>
            <w:tcBorders>
              <w:left w:val="single" w:sz="8" w:color="3ADBB5"/>
              <w:right w:val="single" w:sz="8" w:color="3ADBB5"/>
            </w:tcBorders>
            <w:vMerge w:val="continue"/>
            <w:shd w:val="clear" w:color="auto" w:fill="3ADBB5"/>
          </w:tcPr>
          <w:p>
            <w:pPr>
              <w:spacing w:after="0"/>
              <w:rPr>
                <w:sz w:val="11"/>
                <w:szCs w:val="11"/>
                <w:color w:val="auto"/>
              </w:rPr>
            </w:pPr>
          </w:p>
        </w:tc>
        <w:tc>
          <w:tcPr>
            <w:tcW w:w="3240" w:type="dxa"/>
            <w:vAlign w:val="bottom"/>
            <w:tcBorders>
              <w:right w:val="single" w:sz="8" w:color="3ADBB5"/>
            </w:tcBorders>
            <w:vMerge w:val="continue"/>
            <w:shd w:val="clear" w:color="auto" w:fill="3ADBB5"/>
          </w:tcPr>
          <w:p>
            <w:pPr>
              <w:spacing w:after="0"/>
              <w:rPr>
                <w:sz w:val="11"/>
                <w:szCs w:val="11"/>
                <w:color w:val="auto"/>
              </w:rPr>
            </w:pPr>
          </w:p>
        </w:tc>
        <w:tc>
          <w:tcPr>
            <w:tcW w:w="280" w:type="dxa"/>
            <w:vAlign w:val="bottom"/>
            <w:shd w:val="clear" w:color="auto" w:fill="3ADBB5"/>
          </w:tcPr>
          <w:p>
            <w:pPr>
              <w:spacing w:after="0"/>
              <w:rPr>
                <w:sz w:val="11"/>
                <w:szCs w:val="11"/>
                <w:color w:val="auto"/>
              </w:rPr>
            </w:pPr>
          </w:p>
        </w:tc>
        <w:tc>
          <w:tcPr>
            <w:tcW w:w="2860" w:type="dxa"/>
            <w:vAlign w:val="bottom"/>
            <w:tcBorders>
              <w:right w:val="single" w:sz="8" w:color="auto"/>
            </w:tcBorders>
            <w:vMerge w:val="continue"/>
            <w:shd w:val="clear" w:color="auto" w:fill="3ADBB5"/>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bottom w:val="single" w:sz="8" w:color="auto"/>
              <w:right w:val="single" w:sz="8" w:color="3ADBB5"/>
            </w:tcBorders>
            <w:vMerge w:val="continue"/>
            <w:shd w:val="clear" w:color="auto" w:fill="3ADBB5"/>
          </w:tcPr>
          <w:p>
            <w:pPr>
              <w:spacing w:after="0"/>
              <w:rPr>
                <w:sz w:val="7"/>
                <w:szCs w:val="7"/>
                <w:color w:val="auto"/>
              </w:rPr>
            </w:pPr>
          </w:p>
        </w:tc>
        <w:tc>
          <w:tcPr>
            <w:tcW w:w="2880" w:type="dxa"/>
            <w:vAlign w:val="bottom"/>
            <w:tcBorders>
              <w:left w:val="single" w:sz="8" w:color="3ADBB5"/>
              <w:bottom w:val="single" w:sz="8" w:color="auto"/>
              <w:right w:val="single" w:sz="8" w:color="3ADBB5"/>
            </w:tcBorders>
            <w:shd w:val="clear" w:color="auto" w:fill="3ADBB5"/>
          </w:tcPr>
          <w:p>
            <w:pPr>
              <w:spacing w:after="0"/>
              <w:rPr>
                <w:sz w:val="7"/>
                <w:szCs w:val="7"/>
                <w:color w:val="auto"/>
              </w:rPr>
            </w:pPr>
          </w:p>
        </w:tc>
        <w:tc>
          <w:tcPr>
            <w:tcW w:w="3240" w:type="dxa"/>
            <w:vAlign w:val="bottom"/>
            <w:tcBorders>
              <w:bottom w:val="single" w:sz="8" w:color="auto"/>
              <w:right w:val="single" w:sz="8" w:color="3ADBB5"/>
            </w:tcBorders>
            <w:shd w:val="clear" w:color="auto" w:fill="3ADBB5"/>
          </w:tcPr>
          <w:p>
            <w:pPr>
              <w:spacing w:after="0"/>
              <w:rPr>
                <w:sz w:val="7"/>
                <w:szCs w:val="7"/>
                <w:color w:val="auto"/>
              </w:rPr>
            </w:pPr>
          </w:p>
        </w:tc>
        <w:tc>
          <w:tcPr>
            <w:tcW w:w="280" w:type="dxa"/>
            <w:vAlign w:val="bottom"/>
            <w:tcBorders>
              <w:bottom w:val="single" w:sz="8" w:color="auto"/>
            </w:tcBorders>
            <w:shd w:val="clear" w:color="auto" w:fill="3ADBB5"/>
          </w:tcPr>
          <w:p>
            <w:pPr>
              <w:spacing w:after="0"/>
              <w:rPr>
                <w:sz w:val="7"/>
                <w:szCs w:val="7"/>
                <w:color w:val="auto"/>
              </w:rPr>
            </w:pPr>
          </w:p>
        </w:tc>
        <w:tc>
          <w:tcPr>
            <w:tcW w:w="2860" w:type="dxa"/>
            <w:vAlign w:val="bottom"/>
            <w:tcBorders>
              <w:bottom w:val="single" w:sz="8" w:color="auto"/>
              <w:right w:val="single" w:sz="8" w:color="auto"/>
            </w:tcBorders>
            <w:shd w:val="clear" w:color="auto" w:fill="3ADBB5"/>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8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2b clinical trial</w:t>
            </w:r>
          </w:p>
        </w:tc>
        <w:tc>
          <w:tcPr>
            <w:tcW w:w="280" w:type="dxa"/>
            <w:vAlign w:val="bottom"/>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w w:val="93"/>
              </w:rPr>
              <w:t>(CAHmelia</w:t>
            </w:r>
            <w:r>
              <w:rPr>
                <w:rFonts w:ascii="Arial" w:cs="Arial" w:eastAsia="Arial" w:hAnsi="Arial"/>
                <w:sz w:val="14"/>
                <w:szCs w:val="14"/>
                <w:color w:val="auto"/>
                <w:w w:val="93"/>
              </w:rPr>
              <w:t>-</w:t>
            </w:r>
            <w:r>
              <w:rPr>
                <w:rFonts w:ascii="Arial" w:cs="Arial" w:eastAsia="Arial" w:hAnsi="Arial"/>
                <w:sz w:val="18"/>
                <w:szCs w:val="18"/>
                <w:color w:val="auto"/>
                <w:w w:val="93"/>
              </w:rPr>
              <w:t>203) to evaluate androgen</w:t>
            </w: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2H 2023: CAHmelia</w:t>
            </w:r>
            <w:r>
              <w:rPr>
                <w:rFonts w:ascii="Arial" w:cs="Arial" w:eastAsia="Arial" w:hAnsi="Arial"/>
                <w:sz w:val="14"/>
                <w:szCs w:val="14"/>
                <w:color w:val="auto"/>
              </w:rPr>
              <w:t>-</w:t>
            </w:r>
            <w:r>
              <w:rPr>
                <w:rFonts w:ascii="Arial" w:cs="Arial" w:eastAsia="Arial" w:hAnsi="Arial"/>
                <w:sz w:val="18"/>
                <w:szCs w:val="18"/>
                <w:color w:val="auto"/>
              </w:rPr>
              <w:t>203 topline</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w w:val="91"/>
              </w:rPr>
              <w:t>reduction and clinical consequences in</w:t>
            </w:r>
          </w:p>
        </w:tc>
        <w:tc>
          <w:tcPr>
            <w:tcW w:w="280" w:type="dxa"/>
            <w:vAlign w:val="bottom"/>
            <w:vMerge w:val="continue"/>
          </w:tcPr>
          <w:p>
            <w:pPr>
              <w:spacing w:after="0"/>
              <w:rPr>
                <w:sz w:val="15"/>
                <w:szCs w:val="15"/>
                <w:color w:val="auto"/>
              </w:rPr>
            </w:pPr>
          </w:p>
        </w:tc>
        <w:tc>
          <w:tcPr>
            <w:tcW w:w="2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shd w:val="clear" w:color="auto" w:fill="E5E5E5"/>
          </w:tcPr>
          <w:p>
            <w:pPr>
              <w:spacing w:after="0"/>
              <w:rPr>
                <w:sz w:val="20"/>
                <w:szCs w:val="20"/>
                <w:color w:val="auto"/>
              </w:rPr>
            </w:pPr>
          </w:p>
        </w:tc>
        <w:tc>
          <w:tcPr>
            <w:tcW w:w="2880" w:type="dxa"/>
            <w:vAlign w:val="bottom"/>
            <w:tcBorders>
              <w:right w:val="single" w:sz="8" w:color="auto"/>
            </w:tcBorders>
            <w:vMerge w:val="restart"/>
          </w:tcPr>
          <w:p>
            <w:pPr>
              <w:jc w:val="center"/>
              <w:ind w:left="30"/>
              <w:spacing w:after="0"/>
              <w:rPr>
                <w:sz w:val="20"/>
                <w:szCs w:val="20"/>
                <w:color w:val="auto"/>
              </w:rPr>
            </w:pPr>
            <w:r>
              <w:rPr>
                <w:rFonts w:ascii="Arial" w:cs="Arial" w:eastAsia="Arial" w:hAnsi="Arial"/>
                <w:sz w:val="18"/>
                <w:szCs w:val="18"/>
                <w:color w:val="auto"/>
                <w:w w:val="93"/>
              </w:rPr>
              <w:t>Adult Classic Congenital Adrenal</w:t>
            </w:r>
          </w:p>
        </w:tc>
        <w:tc>
          <w:tcPr>
            <w:tcW w:w="32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adult patients with classic CAH</w:t>
            </w:r>
          </w:p>
        </w:tc>
        <w:tc>
          <w:tcPr>
            <w:tcW w:w="31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results</w:t>
            </w: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shd w:val="clear" w:color="auto" w:fill="E5E5E5"/>
          </w:tcPr>
          <w:p>
            <w:pPr>
              <w:spacing w:after="0"/>
              <w:rPr>
                <w:sz w:val="10"/>
                <w:szCs w:val="10"/>
                <w:color w:val="auto"/>
              </w:rPr>
            </w:pPr>
          </w:p>
        </w:tc>
        <w:tc>
          <w:tcPr>
            <w:tcW w:w="2880" w:type="dxa"/>
            <w:vAlign w:val="bottom"/>
            <w:tcBorders>
              <w:right w:val="single" w:sz="8" w:color="auto"/>
            </w:tcBorders>
            <w:vMerge w:val="continue"/>
          </w:tcPr>
          <w:p>
            <w:pPr>
              <w:spacing w:after="0"/>
              <w:rPr>
                <w:sz w:val="10"/>
                <w:szCs w:val="10"/>
                <w:color w:val="auto"/>
              </w:rPr>
            </w:pPr>
          </w:p>
        </w:tc>
        <w:tc>
          <w:tcPr>
            <w:tcW w:w="3240" w:type="dxa"/>
            <w:vAlign w:val="bottom"/>
            <w:tcBorders>
              <w:right w:val="single" w:sz="8" w:color="auto"/>
            </w:tcBorders>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2b clinical trial</w:t>
            </w:r>
          </w:p>
        </w:tc>
        <w:tc>
          <w:tcPr>
            <w:tcW w:w="3140" w:type="dxa"/>
            <w:vAlign w:val="bottom"/>
            <w:tcBorders>
              <w:right w:val="single" w:sz="8" w:color="auto"/>
            </w:tcBorders>
            <w:gridSpan w:val="2"/>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2H 2024: CAHmelia</w:t>
            </w:r>
            <w:r>
              <w:rPr>
                <w:rFonts w:ascii="Arial" w:cs="Arial" w:eastAsia="Arial" w:hAnsi="Arial"/>
                <w:sz w:val="14"/>
                <w:szCs w:val="14"/>
                <w:color w:val="auto"/>
              </w:rPr>
              <w:t>-</w:t>
            </w:r>
            <w:r>
              <w:rPr>
                <w:rFonts w:ascii="Arial" w:cs="Arial" w:eastAsia="Arial" w:hAnsi="Arial"/>
                <w:sz w:val="18"/>
                <w:szCs w:val="18"/>
                <w:color w:val="auto"/>
              </w:rPr>
              <w:t>204 topline</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Hyperplasia</w:t>
            </w:r>
          </w:p>
        </w:tc>
        <w:tc>
          <w:tcPr>
            <w:tcW w:w="3240" w:type="dxa"/>
            <w:vAlign w:val="bottom"/>
            <w:tcBorders>
              <w:right w:val="single" w:sz="8" w:color="auto"/>
            </w:tcBorders>
            <w:vMerge w:val="continue"/>
          </w:tcPr>
          <w:p>
            <w:pPr>
              <w:spacing w:after="0"/>
              <w:rPr>
                <w:sz w:val="15"/>
                <w:szCs w:val="15"/>
                <w:color w:val="auto"/>
              </w:rPr>
            </w:pPr>
          </w:p>
        </w:tc>
        <w:tc>
          <w:tcPr>
            <w:tcW w:w="31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rPr>
              <w:t>(CAHmelia</w:t>
            </w:r>
            <w:r>
              <w:rPr>
                <w:rFonts w:ascii="Arial" w:cs="Arial" w:eastAsia="Arial" w:hAnsi="Arial"/>
                <w:sz w:val="14"/>
                <w:szCs w:val="14"/>
                <w:color w:val="auto"/>
              </w:rPr>
              <w:t>-</w:t>
            </w:r>
            <w:r>
              <w:rPr>
                <w:rFonts w:ascii="Arial" w:cs="Arial" w:eastAsia="Arial" w:hAnsi="Arial"/>
                <w:sz w:val="18"/>
                <w:szCs w:val="18"/>
                <w:color w:val="auto"/>
              </w:rPr>
              <w:t>204) to evaluate</w:t>
            </w:r>
          </w:p>
        </w:tc>
        <w:tc>
          <w:tcPr>
            <w:tcW w:w="280" w:type="dxa"/>
            <w:vAlign w:val="bottom"/>
          </w:tcPr>
          <w:p>
            <w:pPr>
              <w:spacing w:after="0"/>
              <w:rPr>
                <w:sz w:val="15"/>
                <w:szCs w:val="15"/>
                <w:color w:val="auto"/>
              </w:rPr>
            </w:pPr>
          </w:p>
        </w:tc>
        <w:tc>
          <w:tcPr>
            <w:tcW w:w="286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results</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w w:val="99"/>
              </w:rPr>
              <w:t>glucocorticoid reduction and clinical</w:t>
            </w:r>
          </w:p>
        </w:tc>
        <w:tc>
          <w:tcPr>
            <w:tcW w:w="280" w:type="dxa"/>
            <w:vAlign w:val="bottom"/>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w w:val="99"/>
              </w:rPr>
              <w:t>consequences in adult patients with</w:t>
            </w:r>
          </w:p>
        </w:tc>
        <w:tc>
          <w:tcPr>
            <w:tcW w:w="280" w:type="dxa"/>
            <w:vAlign w:val="bottom"/>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vMerge w:val="restart"/>
            <w:shd w:val="clear" w:color="auto" w:fill="E5E5E5"/>
          </w:tcPr>
          <w:p>
            <w:pPr>
              <w:jc w:val="center"/>
              <w:ind w:left="50"/>
              <w:spacing w:after="0"/>
              <w:rPr>
                <w:sz w:val="20"/>
                <w:szCs w:val="20"/>
                <w:color w:val="auto"/>
              </w:rPr>
            </w:pPr>
            <w:r>
              <w:rPr>
                <w:rFonts w:ascii="Arial" w:cs="Arial" w:eastAsia="Arial" w:hAnsi="Arial"/>
                <w:sz w:val="18"/>
                <w:szCs w:val="18"/>
                <w:b w:val="1"/>
                <w:bCs w:val="1"/>
                <w:color w:val="auto"/>
                <w:w w:val="93"/>
              </w:rPr>
              <w:t>Tildacerfont</w:t>
            </w:r>
          </w:p>
        </w:tc>
        <w:tc>
          <w:tcPr>
            <w:tcW w:w="288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classic CAH</w:t>
            </w:r>
          </w:p>
        </w:tc>
        <w:tc>
          <w:tcPr>
            <w:tcW w:w="280" w:type="dxa"/>
            <w:vAlign w:val="bottom"/>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980" w:type="dxa"/>
            <w:vAlign w:val="bottom"/>
            <w:tcBorders>
              <w:left w:val="single" w:sz="8" w:color="auto"/>
              <w:bottom w:val="single" w:sz="8" w:color="E5E5E5"/>
              <w:right w:val="single" w:sz="8" w:color="auto"/>
            </w:tcBorders>
            <w:vMerge w:val="continue"/>
            <w:shd w:val="clear" w:color="auto" w:fill="E5E5E5"/>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c>
          <w:tcPr>
            <w:tcW w:w="324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Pediatric Classic Congenital Adrenal</w:t>
            </w:r>
          </w:p>
        </w:tc>
        <w:tc>
          <w:tcPr>
            <w:tcW w:w="3240" w:type="dxa"/>
            <w:vAlign w:val="bottom"/>
            <w:tcBorders>
              <w:right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 open-label clinical</w:t>
            </w:r>
          </w:p>
        </w:tc>
        <w:tc>
          <w:tcPr>
            <w:tcW w:w="3140" w:type="dxa"/>
            <w:vAlign w:val="bottom"/>
            <w:tcBorders>
              <w:right w:val="single" w:sz="8" w:color="auto"/>
            </w:tcBorders>
            <w:gridSpan w:val="2"/>
            <w:vMerge w:val="restart"/>
          </w:tcPr>
          <w:p>
            <w:pPr>
              <w:ind w:left="8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1H 2023: Topline safety results from</w:t>
            </w:r>
          </w:p>
        </w:tc>
        <w:tc>
          <w:tcPr>
            <w:tcW w:w="0" w:type="dxa"/>
            <w:vAlign w:val="bottom"/>
          </w:tcPr>
          <w:p>
            <w:pPr>
              <w:spacing w:after="0"/>
              <w:rPr>
                <w:sz w:val="1"/>
                <w:szCs w:val="1"/>
                <w:color w:val="auto"/>
              </w:rPr>
            </w:pPr>
          </w:p>
        </w:tc>
      </w:tr>
      <w:tr>
        <w:trPr>
          <w:trHeight w:val="176"/>
        </w:trPr>
        <w:tc>
          <w:tcPr>
            <w:tcW w:w="1980" w:type="dxa"/>
            <w:vAlign w:val="bottom"/>
            <w:tcBorders>
              <w:left w:val="single" w:sz="8" w:color="auto"/>
              <w:right w:val="single" w:sz="8" w:color="auto"/>
            </w:tcBorders>
            <w:shd w:val="clear" w:color="auto" w:fill="E5E5E5"/>
          </w:tcPr>
          <w:p>
            <w:pPr>
              <w:spacing w:after="0"/>
              <w:rPr>
                <w:sz w:val="15"/>
                <w:szCs w:val="15"/>
                <w:color w:val="auto"/>
              </w:rPr>
            </w:pPr>
          </w:p>
        </w:tc>
        <w:tc>
          <w:tcPr>
            <w:tcW w:w="2880" w:type="dxa"/>
            <w:vAlign w:val="bottom"/>
            <w:tcBorders>
              <w:left w:val="single" w:sz="8" w:color="auto"/>
              <w:right w:val="single" w:sz="8" w:color="auto"/>
            </w:tcBorders>
            <w:vMerge w:val="continue"/>
          </w:tcPr>
          <w:p>
            <w:pPr>
              <w:spacing w:after="0"/>
              <w:rPr>
                <w:sz w:val="15"/>
                <w:szCs w:val="15"/>
                <w:color w:val="auto"/>
              </w:rPr>
            </w:pPr>
          </w:p>
        </w:tc>
        <w:tc>
          <w:tcPr>
            <w:tcW w:w="3240" w:type="dxa"/>
            <w:vAlign w:val="bottom"/>
            <w:tcBorders>
              <w:right w:val="single" w:sz="8" w:color="auto"/>
            </w:tcBorders>
          </w:tcPr>
          <w:p>
            <w:pPr>
              <w:ind w:left="380"/>
              <w:spacing w:after="0" w:line="176" w:lineRule="exact"/>
              <w:rPr>
                <w:sz w:val="20"/>
                <w:szCs w:val="20"/>
                <w:color w:val="auto"/>
              </w:rPr>
            </w:pPr>
            <w:r>
              <w:rPr>
                <w:rFonts w:ascii="Arial" w:cs="Arial" w:eastAsia="Arial" w:hAnsi="Arial"/>
                <w:sz w:val="18"/>
                <w:szCs w:val="18"/>
                <w:color w:val="auto"/>
              </w:rPr>
              <w:t>trial in children between six and 17</w:t>
            </w:r>
          </w:p>
        </w:tc>
        <w:tc>
          <w:tcPr>
            <w:tcW w:w="31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shd w:val="clear" w:color="auto" w:fill="E5E5E5"/>
          </w:tcPr>
          <w:p>
            <w:pPr>
              <w:spacing w:after="0"/>
              <w:rPr>
                <w:sz w:val="20"/>
                <w:szCs w:val="20"/>
                <w:color w:val="auto"/>
              </w:rPr>
            </w:pPr>
          </w:p>
        </w:tc>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Hyperplasia</w:t>
            </w:r>
          </w:p>
        </w:tc>
        <w:tc>
          <w:tcPr>
            <w:tcW w:w="32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years of age</w:t>
            </w:r>
          </w:p>
        </w:tc>
        <w:tc>
          <w:tcPr>
            <w:tcW w:w="31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cohort 1</w:t>
            </w:r>
          </w:p>
        </w:tc>
        <w:tc>
          <w:tcPr>
            <w:tcW w:w="0" w:type="dxa"/>
            <w:vAlign w:val="bottom"/>
          </w:tcPr>
          <w:p>
            <w:pPr>
              <w:spacing w:after="0"/>
              <w:rPr>
                <w:sz w:val="1"/>
                <w:szCs w:val="1"/>
                <w:color w:val="auto"/>
              </w:rPr>
            </w:pPr>
          </w:p>
        </w:tc>
      </w:tr>
      <w:tr>
        <w:trPr>
          <w:trHeight w:val="337"/>
        </w:trPr>
        <w:tc>
          <w:tcPr>
            <w:tcW w:w="1980" w:type="dxa"/>
            <w:vAlign w:val="bottom"/>
            <w:tcBorders>
              <w:left w:val="single" w:sz="8" w:color="auto"/>
              <w:bottom w:val="single" w:sz="8" w:color="E5E5E5"/>
              <w:right w:val="single" w:sz="8" w:color="auto"/>
            </w:tcBorders>
            <w:shd w:val="clear" w:color="auto" w:fill="E5E5E5"/>
          </w:tcPr>
          <w:p>
            <w:pPr>
              <w:spacing w:after="0"/>
              <w:rPr>
                <w:sz w:val="24"/>
                <w:szCs w:val="24"/>
                <w:color w:val="auto"/>
              </w:rPr>
            </w:pPr>
          </w:p>
        </w:tc>
        <w:tc>
          <w:tcPr>
            <w:tcW w:w="2880" w:type="dxa"/>
            <w:vAlign w:val="bottom"/>
            <w:tcBorders>
              <w:left w:val="single" w:sz="8" w:color="auto"/>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PIP adopted by PDCO of EMA</w:t>
            </w: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80" w:type="dxa"/>
            <w:vAlign w:val="bottom"/>
            <w:tcBorders>
              <w:left w:val="single" w:sz="8" w:color="auto"/>
              <w:right w:val="single" w:sz="8" w:color="auto"/>
            </w:tcBorders>
            <w:shd w:val="clear" w:color="auto" w:fill="E5E5E5"/>
          </w:tcPr>
          <w:p>
            <w:pPr>
              <w:spacing w:after="0"/>
              <w:rPr>
                <w:sz w:val="24"/>
                <w:szCs w:val="24"/>
                <w:color w:val="auto"/>
              </w:rPr>
            </w:pPr>
          </w:p>
        </w:tc>
        <w:tc>
          <w:tcPr>
            <w:tcW w:w="2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Polycystic Ovary Syndrome</w:t>
            </w:r>
          </w:p>
        </w:tc>
        <w:tc>
          <w:tcPr>
            <w:tcW w:w="3240" w:type="dxa"/>
            <w:vAlign w:val="bottom"/>
            <w:tcBorders>
              <w:right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Initiated Phase 2 proof-of-concept</w:t>
            </w:r>
          </w:p>
        </w:tc>
        <w:tc>
          <w:tcPr>
            <w:tcW w:w="3140" w:type="dxa"/>
            <w:vAlign w:val="bottom"/>
            <w:tcBorders>
              <w:right w:val="single" w:sz="8" w:color="auto"/>
            </w:tcBorders>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2H 2022: Completion of enrollment</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shd w:val="clear" w:color="auto" w:fill="E5E5E5"/>
          </w:tcPr>
          <w:p>
            <w:pPr>
              <w:spacing w:after="0"/>
              <w:rPr>
                <w:sz w:val="12"/>
                <w:szCs w:val="12"/>
                <w:color w:val="auto"/>
              </w:rPr>
            </w:pPr>
          </w:p>
        </w:tc>
        <w:tc>
          <w:tcPr>
            <w:tcW w:w="2880" w:type="dxa"/>
            <w:vAlign w:val="bottom"/>
            <w:tcBorders>
              <w:left w:val="single" w:sz="8" w:color="auto"/>
              <w:right w:val="single" w:sz="8" w:color="auto"/>
            </w:tcBorders>
            <w:vMerge w:val="continue"/>
          </w:tcPr>
          <w:p>
            <w:pPr>
              <w:spacing w:after="0"/>
              <w:rPr>
                <w:sz w:val="12"/>
                <w:szCs w:val="12"/>
                <w:color w:val="auto"/>
              </w:rPr>
            </w:pPr>
          </w:p>
        </w:tc>
        <w:tc>
          <w:tcPr>
            <w:tcW w:w="32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clinical trial</w:t>
            </w:r>
          </w:p>
        </w:tc>
        <w:tc>
          <w:tcPr>
            <w:tcW w:w="3140" w:type="dxa"/>
            <w:vAlign w:val="bottom"/>
            <w:tcBorders>
              <w:right w:val="single" w:sz="8" w:color="auto"/>
            </w:tcBorders>
            <w:gridSpan w:val="2"/>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1H 2023: Topline results</w:t>
            </w:r>
          </w:p>
        </w:tc>
        <w:tc>
          <w:tcPr>
            <w:tcW w:w="0" w:type="dxa"/>
            <w:vAlign w:val="bottom"/>
          </w:tcPr>
          <w:p>
            <w:pPr>
              <w:spacing w:after="0"/>
              <w:rPr>
                <w:sz w:val="1"/>
                <w:szCs w:val="1"/>
                <w:color w:val="auto"/>
              </w:rPr>
            </w:pPr>
          </w:p>
        </w:tc>
      </w:tr>
      <w:tr>
        <w:trPr>
          <w:trHeight w:val="82"/>
        </w:trPr>
        <w:tc>
          <w:tcPr>
            <w:tcW w:w="1980" w:type="dxa"/>
            <w:vAlign w:val="bottom"/>
            <w:tcBorders>
              <w:left w:val="single" w:sz="8" w:color="auto"/>
              <w:right w:val="single" w:sz="8" w:color="auto"/>
            </w:tcBorders>
            <w:shd w:val="clear" w:color="auto" w:fill="E5E5E5"/>
          </w:tcPr>
          <w:p>
            <w:pPr>
              <w:spacing w:after="0"/>
              <w:rPr>
                <w:sz w:val="7"/>
                <w:szCs w:val="7"/>
                <w:color w:val="auto"/>
              </w:rPr>
            </w:pPr>
          </w:p>
        </w:tc>
        <w:tc>
          <w:tcPr>
            <w:tcW w:w="2880" w:type="dxa"/>
            <w:vAlign w:val="bottom"/>
            <w:tcBorders>
              <w:left w:val="single" w:sz="8" w:color="auto"/>
              <w:right w:val="single" w:sz="8" w:color="auto"/>
            </w:tcBorders>
          </w:tcPr>
          <w:p>
            <w:pPr>
              <w:spacing w:after="0"/>
              <w:rPr>
                <w:sz w:val="7"/>
                <w:szCs w:val="7"/>
                <w:color w:val="auto"/>
              </w:rPr>
            </w:pPr>
          </w:p>
        </w:tc>
        <w:tc>
          <w:tcPr>
            <w:tcW w:w="3240" w:type="dxa"/>
            <w:vAlign w:val="bottom"/>
            <w:tcBorders>
              <w:right w:val="single" w:sz="8" w:color="auto"/>
            </w:tcBorders>
            <w:vMerge w:val="continue"/>
          </w:tcPr>
          <w:p>
            <w:pPr>
              <w:spacing w:after="0"/>
              <w:rPr>
                <w:sz w:val="7"/>
                <w:szCs w:val="7"/>
                <w:color w:val="auto"/>
              </w:rPr>
            </w:pPr>
          </w:p>
        </w:tc>
        <w:tc>
          <w:tcPr>
            <w:tcW w:w="31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980" w:type="dxa"/>
            <w:vAlign w:val="bottom"/>
            <w:tcBorders>
              <w:left w:val="single" w:sz="8" w:color="auto"/>
              <w:right w:val="single" w:sz="8" w:color="auto"/>
            </w:tcBorders>
            <w:shd w:val="clear" w:color="auto" w:fill="E5E5E5"/>
          </w:tcPr>
          <w:p>
            <w:pPr>
              <w:spacing w:after="0"/>
              <w:rPr>
                <w:sz w:val="9"/>
                <w:szCs w:val="9"/>
                <w:color w:val="auto"/>
              </w:rPr>
            </w:pPr>
          </w:p>
        </w:tc>
        <w:tc>
          <w:tcPr>
            <w:tcW w:w="2880" w:type="dxa"/>
            <w:vAlign w:val="bottom"/>
            <w:tcBorders>
              <w:left w:val="single" w:sz="8" w:color="auto"/>
              <w:right w:val="single" w:sz="8" w:color="auto"/>
            </w:tcBorders>
          </w:tcPr>
          <w:p>
            <w:pPr>
              <w:spacing w:after="0"/>
              <w:rPr>
                <w:sz w:val="9"/>
                <w:szCs w:val="9"/>
                <w:color w:val="auto"/>
              </w:rPr>
            </w:pPr>
          </w:p>
        </w:tc>
        <w:tc>
          <w:tcPr>
            <w:tcW w:w="324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80" w:type="dxa"/>
            <w:vAlign w:val="bottom"/>
            <w:tcBorders>
              <w:left w:val="single" w:sz="8" w:color="auto"/>
              <w:bottom w:val="single" w:sz="8" w:color="auto"/>
              <w:right w:val="single" w:sz="8" w:color="auto"/>
            </w:tcBorders>
            <w:shd w:val="clear" w:color="auto" w:fill="E5E5E5"/>
          </w:tcPr>
          <w:p>
            <w:pPr>
              <w:spacing w:after="0"/>
              <w:rPr>
                <w:sz w:val="12"/>
                <w:szCs w:val="12"/>
                <w:color w:val="auto"/>
              </w:rPr>
            </w:pPr>
          </w:p>
        </w:tc>
        <w:tc>
          <w:tcPr>
            <w:tcW w:w="2880" w:type="dxa"/>
            <w:vAlign w:val="bottom"/>
            <w:tcBorders>
              <w:left w:val="single" w:sz="8" w:color="auto"/>
              <w:bottom w:val="single" w:sz="8" w:color="auto"/>
              <w:right w:val="single" w:sz="8" w:color="auto"/>
            </w:tcBorders>
          </w:tcPr>
          <w:p>
            <w:pPr>
              <w:spacing w:after="0"/>
              <w:rPr>
                <w:sz w:val="12"/>
                <w:szCs w:val="12"/>
                <w:color w:val="auto"/>
              </w:rPr>
            </w:pPr>
          </w:p>
        </w:tc>
        <w:tc>
          <w:tcPr>
            <w:tcW w:w="32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ind w:left="1020" w:right="80" w:hanging="503"/>
        <w:spacing w:after="0" w:line="25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Complete clinical development for tildacerfont and seek regulatory approval for the treatment of adults with classic CAH.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Phase 2 clinical trials of tildacerfont in classic CAH patients have demonstrated the potential of tildacerfont to lower ACTH and levels of key steroid precursors for androgen synthesis. 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 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registration.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ind w:left="1020" w:right="6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tildacerfont through clinical development and seek regulatory approval for the treatment of children with classic CAH. </w:t>
      </w:r>
      <w:r>
        <w:rPr>
          <w:rFonts w:ascii="Arial" w:cs="Arial" w:eastAsia="Arial" w:hAnsi="Arial"/>
          <w:sz w:val="18"/>
          <w:szCs w:val="18"/>
          <w:color w:val="auto"/>
        </w:rPr>
        <w:t>There is an urgent need to bring androgen-lowering and glucocorticoid-reduction therapy to pediatric classic CAH patients to avoid premature puberty, which together with the adverse effects of glucocorticoids, can prevent a child from growing to their full height. We have developed a pediatric development plan to assess the safety and efficacy of tildacerfont in patients as young as one year of age. We have initiated a Phase 2 open-label clinical trial, which will utilize a sequential three cohort design, to evaluate the safety and pharmacokinetics of tildacerfont in children six to 17 years of age with classic CAH. We anticipate topline results from cohort 1 of the Phase 2 open-label clinical trial by the first half of 2023.</w:t>
      </w:r>
    </w:p>
    <w:p>
      <w:pPr>
        <w:spacing w:after="0" w:line="76" w:lineRule="exact"/>
        <w:rPr>
          <w:rFonts w:ascii="Arial" w:cs="Arial" w:eastAsia="Arial" w:hAnsi="Arial"/>
          <w:sz w:val="18"/>
          <w:szCs w:val="18"/>
          <w:color w:val="auto"/>
        </w:rPr>
      </w:pPr>
    </w:p>
    <w:p>
      <w:pPr>
        <w:ind w:left="1020" w:right="60" w:hanging="503"/>
        <w:spacing w:after="0" w:line="25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Maximize the commercial potential of tildacerfont in classic CAH. </w:t>
      </w:r>
      <w:r>
        <w:rPr>
          <w:rFonts w:ascii="Arial" w:cs="Arial" w:eastAsia="Arial" w:hAnsi="Arial"/>
          <w:sz w:val="17"/>
          <w:szCs w:val="17"/>
          <w:color w:val="auto"/>
        </w:rPr>
        <w:t>We intend to build a highly specialized commercial organization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the commercialization of tildacerfont, if approved, in the United States and Europe.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opportunistically either build a commercial infrastructure or seek strategic collaborations to benefit from the resources of biopharmaceutical companies specialized in either relevant disease areas or geographies.</w:t>
      </w:r>
    </w:p>
    <w:p>
      <w:pPr>
        <w:spacing w:after="0" w:line="65" w:lineRule="exact"/>
        <w:rPr>
          <w:rFonts w:ascii="Arial" w:cs="Arial" w:eastAsia="Arial" w:hAnsi="Arial"/>
          <w:sz w:val="17"/>
          <w:szCs w:val="17"/>
          <w:color w:val="auto"/>
        </w:rPr>
      </w:pPr>
    </w:p>
    <w:p>
      <w:pPr>
        <w:ind w:left="1020" w:hanging="503"/>
        <w:spacing w:after="0" w:line="270"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Explore the potential of tildacerfont to bring therapeutic benefit to patients with other rare endocrine disorders. </w:t>
      </w:r>
      <w:r>
        <w:rPr>
          <w:rFonts w:ascii="Arial" w:cs="Arial" w:eastAsia="Arial" w:hAnsi="Arial"/>
          <w:sz w:val="16"/>
          <w:szCs w:val="16"/>
          <w:color w:val="auto"/>
        </w:rPr>
        <w:t>We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tildacerfont has the potential to bring therapeutic benefit to patients suffering from rare endocrine disorders where the underlying disease biology supports a need to reduce excess secretion of or hyperresponsiveness to ACTH. Based on this biological rationale, we believe tildacerfont may have utility in controlling elevated levels of adrenal androgens in a subpopulation of females with PCOS. We believe these patients may potentially benefit from treatment with tildacerfont by reducing their ACTH level and related adrenal androgen production.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200mg QD compared to placebo over 12 weeks of treatment in subjects with PCOS and elevated adrenal androgens as measured by DHEAS levels at baseline. We will also continue to explore the utility of tildacerfont in other rare endocrine disorders, such as the severe form of non-classic CAH in which there is a strong scientific and clinical rationale. We anticipate topline results from the Phase 2 proof-of-concept clinical trial by the first half of 2023.</w:t>
      </w:r>
    </w:p>
    <w:p>
      <w:pPr>
        <w:spacing w:after="0" w:line="58" w:lineRule="exact"/>
        <w:rPr>
          <w:rFonts w:ascii="Arial" w:cs="Arial" w:eastAsia="Arial" w:hAnsi="Arial"/>
          <w:sz w:val="16"/>
          <w:szCs w:val="16"/>
          <w:color w:val="auto"/>
        </w:rPr>
      </w:pPr>
    </w:p>
    <w:p>
      <w:pPr>
        <w:jc w:val="both"/>
        <w:ind w:left="1020" w:right="200" w:hanging="503"/>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expand our product candidate portfolio. </w:t>
      </w:r>
      <w:r>
        <w:rPr>
          <w:rFonts w:ascii="Arial" w:cs="Arial" w:eastAsia="Arial" w:hAnsi="Arial"/>
          <w:sz w:val="18"/>
          <w:szCs w:val="18"/>
          <w:color w:val="auto"/>
        </w:rPr>
        <w:t>We intend to seek to in-license or acquire development-stage product candidates in rare endocrine disorders that have the potential to complement our existing portfolio. We believe that there are many opportunities to leverage our deep endocrine expertise to develop new treatments for rare endocrine disorders with significant unmet medical needs.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Endocrine System and the HPA Axis</w:t>
      </w:r>
    </w:p>
    <w:p>
      <w:pPr>
        <w:spacing w:after="0" w:line="104"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endocrine system regulates most of the body’s physiological activities through the actions of hormones, which are chemical and biochemical messengers secreted from different organs that influence growth, gastrointestinal function, maturation and development, reproduction, stress, metabolism, and nearly all aspects of homeostasis. The endocrine system includes, among other glands and organs, the pituitary gland, hypothalamus, pancreas, adrenal gland, thyroid and parathyroid, ovaries and testes, as well as specialized enteroendocrine cells. Hormonal secretion is complex and the body employs several mechanisms to exert positive and negative feedback control to maintain homeostasis.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HPA axis is a critical component of the endocrine system and the body’s response to stress. In a functioning HPA axis, CRF is synthesized and secreted from the hypothalamus in the brain. This stimulates the secretion of ACTH, through activation of the CRF1 receptor at the pituitary gland, which in turn stimulates the production of several hormones in the adrenal cortex: corticosteroids, which gauge the body’s response to illness or injury; mineralocorticoids, which regulate salt and water levels; and androgens, which are male sex hormones. Cortisol, a glucocorticoid steroid, exerts a negative feedback response at the hypothalamus and pituitary, which decreases secretion of CRF and ACTH, respectively, to maintain an appropriate balance of all three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120650</wp:posOffset>
            </wp:positionV>
            <wp:extent cx="4886325" cy="1851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632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1. Normal HPA Axis function.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Classic CAH Disease Overview</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Classic CAH is a chronic and potentially life-threatening rare disease with no cure. The most common cause of classic CAH, accounting for an estimated 95% of cases, is a genetic mutation leading to the production of dysfunctional 21-hydroxylase, an enzyme necessary for the biosynthesis of both corticosteroids and mineralocorticoids. Patients with classic CAH present with dysregulation across the HPA axis due to this enzymatic deficiency that shuts down the production of corticosteroids and, in approximately 75% of cases, the production of mineralocorticoids.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109855</wp:posOffset>
            </wp:positionV>
            <wp:extent cx="4860290" cy="1911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6029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2. The dysregulation of the HPA axis in classic CAH.</w:t>
      </w:r>
    </w:p>
    <w:p>
      <w:pPr>
        <w:spacing w:after="0" w:line="216" w:lineRule="exact"/>
        <w:rPr>
          <w:sz w:val="20"/>
          <w:szCs w:val="20"/>
          <w:color w:val="auto"/>
        </w:rPr>
      </w:pPr>
    </w:p>
    <w:p>
      <w:pPr>
        <w:ind w:right="360" w:firstLine="509"/>
        <w:spacing w:after="0" w:line="269" w:lineRule="auto"/>
        <w:rPr>
          <w:sz w:val="20"/>
          <w:szCs w:val="20"/>
          <w:color w:val="auto"/>
        </w:rPr>
      </w:pPr>
      <w:r>
        <w:rPr>
          <w:rFonts w:ascii="Arial" w:cs="Arial" w:eastAsia="Arial" w:hAnsi="Arial"/>
          <w:sz w:val="16"/>
          <w:szCs w:val="16"/>
          <w:color w:val="auto"/>
        </w:rPr>
        <w:t>The immediate goal of treatment is the prevention of adrenal crises by replacing the missing physiological levels of corticosteroids. However, cortisol levels in the body vary daily, and normally increase during periods of high stress, making adequate control very difficult to achieve for most patients. In response to chronically absent or inadequate cortisol levels, the pituitary gland secretes higher levels of ACTH to further stimulate steroid synthesis in the adrenal gland. This results in hyperplasia of the gland and the shunting of the steroid precursors to androgen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synthesis, resulting in excess levels of androgens such as testosterone and A4 with overt symptoms of virilization. Therefore, the long-term symptomatic control in these patients is to reduce ACTH through supraphysiological doses of exogenous glucocorticoids via a negative feedback response.</w:t>
      </w:r>
    </w:p>
    <w:p>
      <w:pPr>
        <w:spacing w:after="0" w:line="124"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The consequences of being born with CAH are severe. All patients born with classic CAH have cortisol deficiency, which makes these patients susceptible to adrenal crises in as early as one to four weeks of age. Due to the life-threatening adrenal crisis, screening for classic CAH is a standard part of routine neonatal screening in the United States and many other major geographies around the world. The most common cause of an adrenal crisis is an infection. Adrenal crisis can also be precipitated by other inducers of stress including surgery, dehydration, or trauma, and is characterized by extreme weakness, nausea, and vomiting. To prevent adrenal crises, physiological replacement of glucocorticoids is initiated in the neonatal period. Data from approximately 6.5 million newborn infants screened worldwide show an estimated incidence of approximately one in 15,000 live births.</w:t>
      </w:r>
    </w:p>
    <w:p>
      <w:pPr>
        <w:spacing w:after="0" w:line="16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Even when patients are diagnosed early and treated with steroids, the associated, continued exposure to high levels of androgens results in premature or precocious puberty, with onset sometimes occurring as early as five years of age. Early puberty drives early maturation of the body’s bones, resulting in an adult height that is typically significantly below the height expected based on the parents’ heights. In females, the presence of excess androgens in the body causes virilization, often leading to ambiguous genitalia and masculinizing features apparent at birth. Female adolescents and adults may develop male-pattern alopecia, acne, hirsutism, menstrual irregularities, and impaired fertility. Often commencing in early adolescence, a substantial proportion of males can develop testicular adrenal rest tumors, or TARTs, benign tumors that can lead to pain and impaired fertility.</w:t>
      </w:r>
    </w:p>
    <w:p>
      <w:pPr>
        <w:spacing w:after="0" w:line="162" w:lineRule="exact"/>
        <w:rPr>
          <w:sz w:val="20"/>
          <w:szCs w:val="20"/>
          <w:color w:val="auto"/>
        </w:rPr>
      </w:pPr>
    </w:p>
    <w:p>
      <w:pPr>
        <w:ind w:right="700" w:firstLine="509"/>
        <w:spacing w:after="0" w:line="248" w:lineRule="auto"/>
        <w:rPr>
          <w:sz w:val="20"/>
          <w:szCs w:val="20"/>
          <w:color w:val="auto"/>
        </w:rPr>
      </w:pPr>
      <w:r>
        <w:rPr>
          <w:rFonts w:ascii="Arial" w:cs="Arial" w:eastAsia="Arial" w:hAnsi="Arial"/>
          <w:sz w:val="18"/>
          <w:szCs w:val="18"/>
          <w:color w:val="auto"/>
        </w:rPr>
        <w:t>Numerous studies have documented diminished quality of life in patients with CAH related both to the disease and its treatment with glucocorticoids. For example, CAH patients commonly experience fatigue, sleep disturbances, concentration problems, and challenges with social interactions.</w:t>
      </w:r>
    </w:p>
    <w:p>
      <w:pPr>
        <w:spacing w:after="0" w:line="182"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Patients with classic CAH face increased risk of mortality, with one study documenting an average reduced lifespan of 6.5 years. The causes of death were adrenal crisis (42%), cardiovascular disease (32%), cancer (16%), and suicide (10%).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Lack of Cortisol and Aldosterone</w:t>
      </w:r>
    </w:p>
    <w:p>
      <w:pPr>
        <w:spacing w:after="0" w:line="104"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A lack of functional 21-hydroxylase enzyme results in the inability to produce sufficient corticosteroids, such as cortisol, and mineralocorticoids, such as aldosterone. Cortisol functions as the body’s main stress hormone. Biochemically, it regulates glucose metabolism, inflammation and blood pressure. On a behavioral level, it controls mood, motivation, fear, and sleep/wake cycles. Aldosterone regulates the electrolyte balance between sodium and potassium in the body. Low levels of aldosterone result in hyponatremia, low blood pressure and volume, dizziness, and lightheadedness. Restoration of the function of both cortisol and aldosterone is the primary goal of current therapies for classic CAH.</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the Accumulation of the Androgen Precursor 17-OHP</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A consequence of the absence of 21-hydroxylase is the accumulation of 17-hydroxyprogesterone, or 17-OHP, a precursor molecule to androgens and cortisol. Without 21-hydroxylase to convert 17-OHP into cortisol, increased levels of 17-OHP are shunted to an alternative hormone resulting in increased synthesis of the testosterone precursor, A4, and related increases in the levels of other androgens in the body, resulting in virilization that</w:t>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complicates fertility and sexual maturation in both females and males. The following figure depicts steroid treatment intervention in patients with classic CAH.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109220</wp:posOffset>
            </wp:positionV>
            <wp:extent cx="4663440" cy="2443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634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Figure 3. Depiction of steroid treatment intervention in patients with classic CAH.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Inadequate Regulation of Steroid Synthesis Leading to Androgen Excess</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Cortisol serves as a negative regulator of the HPA axis, regulating its own production. Increasing levels of cortisol downregulate the synthesis of CRF in the hypothalamus and ACTH in the pituitary to ultimately reduce the production of cortisol precursor molecules, such as 17-OHP. In classic CAH patients, deficiencies in cortisol levels stimulate this feedback mechanism and results in excess production of CRF and ACTH. CRF produced in the hypothalamus binds to the CRF1 receptor in the pituitary gland to stimulate the production of ACTH. In turn, ACTH overproduction drives both adrenal hyperplasia, or enlargement of the adrenal glands, and overproduction of steroid molecules such as 17-OHP and A4, leading to increased androgen production. This serves to further exacerbate the excessive levels of androgens in these patients.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 Paradigm and its Limitations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mainstay of classic CAH therapy for over 50 years has been lifelong treatment with glucocorticoids such as hydrocortisone, prednisone, prednisolone, methylprednisolone, or dexamethasone. These treatments do not cure the disease, but they serve a two-fold purpose in disease management. Firstly, physiologic levels of glucocorticoids replace the missing cortisol in order to prevent adrenal crisis. Secondly, supraphysiologic levels of glucocorticoids reduce excess androgens through the negative feedback loop alleviating additional hyperandrogenic symptoms.</w:t>
      </w:r>
    </w:p>
    <w:p>
      <w:pPr>
        <w:spacing w:after="0" w:line="172"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The level of glucocorticoid necessary to achieve therapeutic benefit is specific to each patient, requires adjustment to individual patient circumstances, and may change over the patient’s lifetime, thereby creating multiple challenges for effective treatment. Chronic use of glucocorticoids requires careful management, because of the well-known serious side effects of these drugs, which include growth inhibition in children, high blood pressure, diabetes, psychological effects, skin thinning, and increased risks of infections.</w:t>
      </w:r>
    </w:p>
    <w:p>
      <w:pPr>
        <w:spacing w:after="0" w:line="18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Clinical management of classic CAH is a difficult balance between supplying sufficient levels of glucocorticoids to compensate for deficiencies in cortisol levels while minimizing side effects resulting in a narrow therapeutic window. In an analysis of classic CAH patients treated in the United States and the United Kingdom, or UK, only one-third of those dosed with glucocorticoids achieved optimal control of their androgen levels. While treatment with supraphysiologic glucocorticoids can help restore the regulation of CRF and ACTH production leading to reductions in excess 17-OHP and A4 synthesis, in order to restore a more appropriate balance, physicians</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must identify the desired glucocorticoid dose for each patient. This is challenging, because the amount of cortisol needed to modulate 17-OHP and A4 levels is much higher than that required to functionally replace the missing cortisol.</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From birth to adulthood, the aim of glucocorticoid treatment is to identify the right balance based on both the patient’s physical maturation as well as gender. At birth, the aim of treatment is to provide an adequate level of steroids to prevent an adrenal crisis. Throughout childhood, treatment becomes more complex with both a need to maintain adequate steroid levels but also ensure androgen levels are as close to normal to prevent precocious puberty while not stunting growth and to prevent premature closure of bone growth plates as a result of treatment with supraphysiologic steroids. The aim of treatment for adolescents and adults is to provide the body with the ability to maintain a normal energy level, normal growth, and fertility while minimizing clinically overt signs of excess glucocorticoids or excess androgens. In adults, the balancing act may be different between males and females. Females experience more outward signs of excess androgens than males, so females are more attentive to androgen control through supraphysiologic glucocorticoids while males may be more attentive to the adverse outcomes associated with supraphysiologic glucocorticoid replacement.</w:t>
      </w:r>
    </w:p>
    <w:p>
      <w:pPr>
        <w:spacing w:after="0" w:line="168"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This makes glucocorticoid therapy challenging, since treatment with high levels of glucocorticoids leads to, among other consequences, obesity, short stature, the loss of bone mineral density, drug-induced Cushing’s disease, which is a condition that occurs from exposure to high cortisol levels for a long period of time, metabolic disorders, increased cardiovascular and infection risk, and early mortality. The following figure depicts the need to balance the negative consequences that result from poor control of androgen levels with those associated with high levels of glucocorticoids.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99060</wp:posOffset>
            </wp:positionV>
            <wp:extent cx="3651885" cy="1868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5188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Figure 4. The challenge in treating CAH is balancing therapy to provide optimal control of androgens while avoiding excess cortisol levels.</w:t>
      </w:r>
    </w:p>
    <w:p>
      <w:pPr>
        <w:spacing w:after="0" w:line="2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novel approach to suppress androgen synthesis would be to directly inhibit the ability of CRF to stimulate ACTH synthesis using a CRF1 receptor antagonist. This approach has the potential to dissociate physiologic cortisol replacement with glucocorticoids from cortisol’s regulatory role as a negative-regulator of ACTH to both prevent the hyperplasia of the adrenal gland and reduce the ensuing excess androgen synthesis. In effect, this is an independent mechanism to block excessive ACTH production. We believe that an effective CRF1receptor antagonist will enable physicians to reduce the dose of glucocorticoids administered to patients in a way that will address their cortisol replacement needs and simultaneously avoid excessive androgen production.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Tildacerfont</w:t>
      </w:r>
    </w:p>
    <w:p>
      <w:pPr>
        <w:spacing w:after="0" w:line="108" w:lineRule="exact"/>
        <w:rPr>
          <w:sz w:val="20"/>
          <w:szCs w:val="20"/>
          <w:color w:val="auto"/>
        </w:rPr>
      </w:pPr>
    </w:p>
    <w:p>
      <w:pPr>
        <w:ind w:right="260" w:firstLine="509"/>
        <w:spacing w:after="0" w:line="253" w:lineRule="auto"/>
        <w:rPr>
          <w:sz w:val="20"/>
          <w:szCs w:val="20"/>
          <w:color w:val="auto"/>
        </w:rPr>
      </w:pPr>
      <w:r>
        <w:rPr>
          <w:rFonts w:ascii="Arial" w:cs="Arial" w:eastAsia="Arial" w:hAnsi="Arial"/>
          <w:sz w:val="17"/>
          <w:szCs w:val="17"/>
          <w:color w:val="auto"/>
        </w:rPr>
        <w:t>Tildacerfont is a potent and highly selective, non-steroidal, oral, small-molecule antagonist of the CRF1 receptor, a regulator of the production of ACTH. The CRF1 receptor binds CRF, a potent mediator of endocrine, autonomic, behavioral, and immune responses to stress. Activation of the CRF1 receptor in the pituitary gland has been shown to increase the secretion of ACTH, which in turn drives the production of cortisol and androgens in the adrenal gland. By blocking the CRF1 receptor, tildacerfont can address the uncontrolled cortisol feedback regulatory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pathway in CAH, and in turn reduce the production of ACTH in the pituitary, limiting the amount of androgen produced downstream from the adrenal gland. Tildacerfont has been assessed in over 200 patients across eight clinical trials, in which it has been well tolerated with no drug-related SAEs. In preclinical studies, we showed that blocking the binding of CRF to this receptor decreased ACTH production and the production of hormones and androgens such as 17-OHP and A4 and that tildacerfont was over 1,000-fold selective for the CRF1 receptor versus any other receptor tested. Based on preclinical data, receptor occupancy of at least 90% was predicted to be achieved at a dose of less than 400mg.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60" w:right="180"/>
        <w:spacing w:after="0" w:line="266" w:lineRule="auto"/>
        <w:rPr>
          <w:sz w:val="20"/>
          <w:szCs w:val="20"/>
          <w:color w:val="auto"/>
        </w:rPr>
      </w:pPr>
      <w:r>
        <w:rPr>
          <w:rFonts w:ascii="Arial" w:cs="Arial" w:eastAsia="Arial" w:hAnsi="Arial"/>
          <w:sz w:val="18"/>
          <w:szCs w:val="18"/>
          <w:b w:val="1"/>
          <w:bCs w:val="1"/>
          <w:color w:val="auto"/>
        </w:rPr>
        <w:t>Figure 5. Tildacerfont blocks CRF1 receptors at the anterior pituitary gland to decrease secretion of ACTH, hormones, such as 17-OHP, and androgens, such as A4.</w:t>
      </w:r>
    </w:p>
    <w:p>
      <w:pPr>
        <w:spacing w:after="0" w:line="16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Tildacerfont has been investigated in six completed Phase 1 clinical trials in healthy adult volunteers, in single doses up to 800mg as well as in multiple doses ranging from 50mg to 200mg once daily, for 14 days. In all of these clinical trials, tildacerfont was generally well tolerated. Over 200 healthy volunteers have received at least one dose of tildacerfont in completed studies. No drug-related SAEs during tildacerfont treatment were observed in these clinical trials and the most frequent non-procedural adverse events, defined as events experienced by greater than 5% of the healthy volunteer population was headache.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in Classic CAH Patients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conducted two Phase 2a clinical trials of tildacerfont in adult patients with classic CAH on stable glucocorticoid therapy. Clinical trial SPR001-201 was an open-label, dose-ranging clinical trial in 24 patients. These patients received a series of doses of tildacerfont for two weeks each in addition to their standard daily glucocorticoid dose. Two patients participated in two cohorts in SPR001-201. Clinical trial SPR001-202 was a 12-week clinical trial of 11 patients treated with a fixed dose of 400mg tildacerfont once daily. Nine of the 11 SPR001-202 patients also participated in SPR001-201. A total of 26 unique classic CAH patients have been treated to date with tildacerfont. The results from the clinical trials to date suggest that tildacerfont may reduce elevated androgens and may also allow for reduction of supraphysiologic glucocorticoid doses.</w:t>
      </w:r>
    </w:p>
    <w:p>
      <w:pPr>
        <w:spacing w:after="0" w:line="17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Previous observations had identified that tildacerfont interacts with CYP3A4, a liver enzyme that is responsible for the metabolism of a number of drugs. When a drug inhibits or induces CYP3A4, it can impact the body’s ability to metabolize other drugs. In SPR001-201, we observed that tildacerfont led to an approximately two-fold increase in the levels of dexamethasone, a glucocorticoid that is primarily metabolized through CYP3A4. In order to eliminate any potentially confounding drug-drug interactions from our clinical trial, we subsequently</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removed patients who were being treated with dexamethasone from our efficacy analyses. No drug-drug interactions were observed with other glucocorticoids and we made no other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109220</wp:posOffset>
            </wp:positionV>
            <wp:extent cx="4208780" cy="2151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087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Figure 6. Phase 2 SPR001-201.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SPR001-201 Results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SPR001-201 was our first clinical trial in adults with classic CAH and was a proof-of-concept, dose-escalating Phase 2a clinical trial in patients who were on a stable glucocorticoid dosing regimen but still had levels of 17-OHP that were four-fold or greater above the 200 ng/dL upper limit of normal, or ULN. Patients enrolled in three sequential cohorts, and during the clinical trial, could not change their underlying glucocorticoid regimen to avoid confounding the effect of varying glucocorticoid levels on disease-driving hormones. The clinical trial assessed the safety and pharmacokinetics of tildacerfont across a range of doses from 200mg to 1,000mg once daily and 100mg and 200mg twice daily. Pharmacodynamic activity was assessed using ACTH, 17-OHP, and A4 overnight with the baseline and key assessment at 8:00 a.m. This overnight period was selected as it represents the time period during which excess production of ACTH and hormones and androgens peak. The goal of this clinical trial was to assess whether tildacerfont could blunt the magnitude of this rise in the hormones.</w:t>
      </w:r>
    </w:p>
    <w:p>
      <w:pPr>
        <w:spacing w:after="0" w:line="19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enrollment screening criteria for SPR001-201 ensured that 17-OHP was elevated in all but one patient at baseline (8:00 a.m. on day one) enrolled in this clinical trial; however, the levels of ACTH and A4 were more variable. In a post-hoc analysis, we identified two homogenous patient groups using ACTH and A4 and classified these patients as either those with “poor disease control” or “good disease control”. In our clinical trial, patients with poor disease control had highly elevated ACTH, 17-OHP, and A4 levels, generally greater than twice the ULN and, more commonly, greater than four times the ULN. These patients with poor disease control were on a stable mean daily supraphysiologic dose of approximately 25mg of hydrocortisone, or a dose of another glucocorticoid equivalent to 25mg of hydrocortisone. Patients with good disease control had elevated 17-OHP levels but had ACTH and A4 generally less than twice the ULN and more commonly, within the normal bounds for ACTH and A4. These patients were on doses equivalent to a mean daily supraphysiologic dose 36mg of hydrocortisone, which was a 44% higher total daily dose than patients with poor disease control. These findings suggest that patients in the poor disease control patient group may have been receiving inadequate glucocorticoid doses to provide adequate control of their disease, possibly due to an inability to tolerate higher doses of glucocorticoids or unwillingness to accept the adverse outcomes attributed to chronic dosing of supraphysiologic glucocorticoids. Given the clear differences in baseline hormone profiles and glucocorticoid dosing, we decided to analyze the effect of tildacerfont on hormones in these two groups independently. We believe that by identifying these two homogeneous patient groups, and designing our development program around the two groups, we are uniquely positioned to address the two major areas of unmet medical need for these patients.</w:t>
      </w:r>
    </w:p>
    <w:p>
      <w:pPr>
        <w:spacing w:after="0" w:line="168"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Table 1 summarizes the key demographic and baseline characteristics across the two patient groups. The demographics across both patient groups were similar. The age distribution trended to older subjects with an average</w:t>
      </w: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age of 44 years, as compared to an age range of 19 years to 67 years, with an average body mass index, or BMI, of approximately 31, signifying an obese population on average. The daily glucocorticoid dose and baseline hormones were different between the two patient groups.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Good Disease Control</w:t>
            </w:r>
          </w:p>
        </w:tc>
        <w:tc>
          <w:tcPr>
            <w:tcW w:w="14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Arial" w:cs="Arial" w:eastAsia="Arial" w:hAnsi="Arial"/>
                <w:sz w:val="14"/>
                <w:szCs w:val="14"/>
                <w:b w:val="1"/>
                <w:bCs w:val="1"/>
                <w:color w:val="auto"/>
              </w:rPr>
              <w:t>Poor Disease Control</w:t>
            </w:r>
          </w:p>
        </w:tc>
      </w:tr>
      <w:tr>
        <w:trPr>
          <w:trHeight w:val="185"/>
        </w:trPr>
        <w:tc>
          <w:tcPr>
            <w:tcW w:w="5220" w:type="dxa"/>
            <w:vAlign w:val="bottom"/>
          </w:tcPr>
          <w:p>
            <w:pPr>
              <w:spacing w:after="0"/>
              <w:rPr>
                <w:sz w:val="16"/>
                <w:szCs w:val="16"/>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(N=6)</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(N=11)</w:t>
            </w: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Demographics</w:t>
            </w: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Age (yrs), mean (SD)</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3"/>
              </w:rPr>
              <w:t>(16.6)</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(17.0)</w:t>
            </w: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Sex, Female, n (%)</w:t>
            </w:r>
          </w:p>
        </w:tc>
        <w:tc>
          <w:tcPr>
            <w:tcW w:w="12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5 (83%)</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 (55%)</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Race, White n (%)</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(100%)</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(91%)</w:t>
            </w: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BMI (kg/m2), mean (SD)</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(5.77)</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30.0 (5.9)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Baseline Glucocorticoid dose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Dose (mg) in Hydrocortisone equivalents</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36.3</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(8.02)</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24.5 (8.6)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Baseline Hormones (8:00 a.m.)</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ACTH (pg/mL), geometric mean (CV%)</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30.9 (273.1%)</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397.0 (88.5%)</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17-OHP (ng/dl), geometric mean (CV%)</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1,531.6</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(489%)</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6,688.6 (113%)</w:t>
            </w: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A4 (ng/dL), geometric mean (CV%)</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97.6</w:t>
            </w: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(338%)</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333.1 (171%)</w:t>
            </w: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Demographics and baseline hormones in non-dexamethasone patients (SPR001-201).</w:t>
      </w:r>
    </w:p>
    <w:p>
      <w:pPr>
        <w:spacing w:after="0" w:line="21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While the exposure levels, as a function of dose, generally demonstrated dose linearity, no clear dose-response was observed in ACTH, 17-OHP, and A4 reductions. The lowest evaluated dose of 200mg once daily resulted in hormone changes that were comparable to those observed at higher doses (Figures 7-9). Also, overall dosing twice daily did not result in greater hormone reductions compared to once daily dosing. This finding corresponds with the initial predicted receptor occupancy data based on preclinical experiments demonstrating at least 90% receptor occupancy at doses of tildacerfont up to 400mg.</w:t>
      </w:r>
    </w:p>
    <w:p>
      <w:pPr>
        <w:spacing w:after="0" w:line="18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Figures 7-9 below summarize the changes in hormones across the overnight period. We conducted a post-hoc analysis which divided the subjects in this study into two groups, based on their hormone and androgen levels at baseline: poor disease control and good disease control. In the poor disease control group, there were 11 patients at doses equal to 200mg, six of whom received 200mg once per day in Cohort A and five of whom received 100mg twice per day in Cohort C, and 12 patients at doses greater than 200mg, six of whom received 600mg once per day and the same six of whom received 1,000mg once per day. In the good disease control group, there were six patients, one patient at 200mg once per day in Cohort A and five patients at doses greater than 200mg, each receiving 200mg twice per day in Cohort B.</w:t>
      </w:r>
    </w:p>
    <w:p>
      <w:pPr>
        <w:spacing w:after="0" w:line="175" w:lineRule="exact"/>
        <w:rPr>
          <w:sz w:val="20"/>
          <w:szCs w:val="20"/>
          <w:color w:val="auto"/>
        </w:rPr>
      </w:pPr>
    </w:p>
    <w:p>
      <w:pPr>
        <w:ind w:right="200" w:firstLine="509"/>
        <w:spacing w:after="0" w:line="252" w:lineRule="auto"/>
        <w:rPr>
          <w:sz w:val="20"/>
          <w:szCs w:val="20"/>
          <w:color w:val="auto"/>
        </w:rPr>
      </w:pPr>
      <w:r>
        <w:rPr>
          <w:rFonts w:ascii="Arial" w:cs="Arial" w:eastAsia="Arial" w:hAnsi="Arial"/>
          <w:sz w:val="17"/>
          <w:szCs w:val="17"/>
          <w:color w:val="auto"/>
        </w:rPr>
        <w:t>Patients in the poor disease control group had baseline levels of ACTH, 17-OHP, and A4 that were substantially above the target goal for these hormones (ACTH target of 63.3 pg/mL, 17-OHP target of 1200 ng/dL and A4 target of 152 ng/dL for males and 262 ng/dL for females). Subsequent to receiving tildacerfont for 14 days, the mean levels of all three hormones were generally reduced throughout the overnight period from 10:00 p.m. to 8:00 a.m. These reductions were observed despite no changes in glucocorticoid dosing. We believe that the reductions in the poor disease control group demonstrated proof of concept and supported further studies to assess the ability of tildacerfont to reduce hormones.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Patients in the good disease control group had mean baseline levels of ACTH and A4 that were already below the target goal for these hormones. Treatment with tildacerfont did not lead to clinically meaningful reduction of these levels, suggesting that administering tildacerfont in good disease control patients has a low risk of excessive adrenal suppression. We believe the observed changes in these hormones are reflective of typical day-to-day variation in these patients. Treatment of patients with good disease control who had elevated levels of 17-OHP led to a modest decrease in 17-OHP.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124460</wp:posOffset>
            </wp:positionV>
            <wp:extent cx="4585970" cy="1148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7. Change from baseline in ACTH (pg/mL) in poor and good disease control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170180</wp:posOffset>
            </wp:positionV>
            <wp:extent cx="4585970" cy="1140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8597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Figure 8. Change from baseline in 17-OHP (ng/dL) in poor and good disease control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170180</wp:posOffset>
            </wp:positionV>
            <wp:extent cx="3111500" cy="1508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9. Change from baseline in A4 (ng/dL) in poor and good disease control patients (SPR001-201).</w:t>
      </w:r>
    </w:p>
    <w:p>
      <w:pPr>
        <w:spacing w:after="0" w:line="21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Of note, one classic CAH patient enrolled in this clinical trial, who had a pre-existing testicular mass classified as TART, saw a 25% decrease in the size of his tumor following six weeks of dosing with tildacerfont through two dose escalations in Cohort A. TARTs are directly driven by excess ACTH and the empiric standard of care to reduce TARTs is high dose dexamethasone. This tumor shrinkage is consistent with the mechanism of action of tildacerfont, reduction of excess ACTH, and provides the first known evidence of a non-steroidal, non-surgical reduction in a TART.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Tildacerfont was well tolerated in SPR001-201 at doses up to 1,000mg once daily. No drug-related SAEs were reported. The most common adverse event was headache (n=3). The majority of events were grade one in nature. A female subject (age 48; 200mg twice daily) experienced a grade three hot flush that resolved on its own within 30 minutes in the first week of treatment. One event of special interest was observed at the highest dose of 1,000mg once daily. After 14 days of treatment at 1,000mg once daily, this patient experienced a grade one liver-related adverse event, as determined by the investigator. This patient had elevated levels of alanine transaminase, or ALT, between five and nine times ULN, elevations in aspartate aminotransferase, or AST, less than five times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and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132080</wp:posOffset>
            </wp:positionV>
            <wp:extent cx="5349240" cy="1028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10. Phase 2 SPR001-202.</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SPR001-202 Results</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SPR001-202, our open-label, 12-week Phase 2a clinical trial, assessed the ability of a daily dose of 400mg of tildacerfont to lower disease-driving hormones such as ACTH, 17-OHP, and A4 over a 12-week dosing period. SPR001-202 was an extension clinical trial of SPR001-201, where the enrollment criteria was either prior participation in SPR001-201 or treatment-naïve patients meeting the 17-OHP criterion in SPR001-201. Disease-driving hormones were assessed at approximately 8:00 a.m. on each day corresponding to the peak excess hormone production. This clinical trial was conducted to evaluate the safety and tolerability of long-term treatment with tildacerfont and to assess the magnitude of hormone reductions after 12 weeks of treatment.</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with SPR001-201, dexamethasone subjects (n=3) were excluded from pharmacodynamic activity summaries but included in safety summaries.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key demographic and baseline hormones in the non-dexamethasone patients.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20" w:type="dxa"/>
            <w:vAlign w:val="bottom"/>
          </w:tcPr>
          <w:p>
            <w:pPr>
              <w:jc w:val="right"/>
              <w:ind w:right="154"/>
              <w:spacing w:after="0"/>
              <w:rPr>
                <w:sz w:val="20"/>
                <w:szCs w:val="20"/>
                <w:color w:val="auto"/>
              </w:rPr>
            </w:pPr>
            <w:r>
              <w:rPr>
                <w:rFonts w:ascii="Arial" w:cs="Arial" w:eastAsia="Arial" w:hAnsi="Arial"/>
                <w:sz w:val="14"/>
                <w:szCs w:val="14"/>
                <w:b w:val="1"/>
                <w:bCs w:val="1"/>
                <w:color w:val="auto"/>
              </w:rPr>
              <w:t>Good Disease Control</w:t>
            </w:r>
          </w:p>
        </w:tc>
        <w:tc>
          <w:tcPr>
            <w:tcW w:w="14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Arial" w:cs="Arial" w:eastAsia="Arial" w:hAnsi="Arial"/>
                <w:sz w:val="14"/>
                <w:szCs w:val="14"/>
                <w:b w:val="1"/>
                <w:bCs w:val="1"/>
                <w:color w:val="auto"/>
              </w:rPr>
              <w:t>Poor Disease Control</w:t>
            </w:r>
          </w:p>
        </w:tc>
      </w:tr>
      <w:tr>
        <w:trPr>
          <w:trHeight w:val="185"/>
        </w:trPr>
        <w:tc>
          <w:tcPr>
            <w:tcW w:w="5220" w:type="dxa"/>
            <w:vAlign w:val="bottom"/>
          </w:tcPr>
          <w:p>
            <w:pPr>
              <w:spacing w:after="0"/>
              <w:rPr>
                <w:sz w:val="16"/>
                <w:szCs w:val="16"/>
                <w:color w:val="auto"/>
              </w:rPr>
            </w:pP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(N=3)</w:t>
            </w:r>
          </w:p>
        </w:tc>
        <w:tc>
          <w:tcPr>
            <w:tcW w:w="140" w:type="dxa"/>
            <w:vAlign w:val="bottom"/>
          </w:tcPr>
          <w:p>
            <w:pPr>
              <w:spacing w:after="0"/>
              <w:rPr>
                <w:sz w:val="16"/>
                <w:szCs w:val="16"/>
                <w:color w:val="auto"/>
              </w:rPr>
            </w:pP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(N=5)</w:t>
            </w: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Demographics</w:t>
            </w:r>
          </w:p>
        </w:tc>
        <w:tc>
          <w:tcPr>
            <w:tcW w:w="1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Age (yrs), mean (SD)</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48.0 (17.69)</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 (15.63)</w:t>
            </w:r>
          </w:p>
        </w:tc>
      </w:tr>
      <w:tr>
        <w:trPr>
          <w:trHeight w:val="202"/>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Sex, Female, n (%)</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(100%)</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(40%)</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Race, White n (%)</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 (100%)</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(80%)</w:t>
            </w: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BMI (kg/m2), mean (SD)</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 (6.10)</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27.8 (5.56)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Baseline Glucocorticoid dose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Dose (mg) in Hydrocortisone equivalents</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 (11.6)</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24.5 (11.5)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Baseline hormones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ACTH (pg/mL), geometric mean (CV%)</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 (584.1%)</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536.6 (108.5%)</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17-OHP (ng/dl), geometric mean (CV%)</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314.1 (1068.6%)</w:t>
            </w:r>
          </w:p>
        </w:tc>
        <w:tc>
          <w:tcPr>
            <w:tcW w:w="1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15,323.3 (46.9%)</w:t>
            </w:r>
          </w:p>
        </w:tc>
      </w:tr>
      <w:tr>
        <w:trPr>
          <w:trHeight w:val="203"/>
        </w:trPr>
        <w:tc>
          <w:tcPr>
            <w:tcW w:w="5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A4 (ng/dL), geometric mean (CV%)</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 (216.1%)</w:t>
            </w:r>
          </w:p>
        </w:tc>
        <w:tc>
          <w:tcPr>
            <w:tcW w:w="1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1001.1 (48.4%)</w:t>
            </w: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 Demographics and baseline hormones in good and poor disease control patients (SPR001-202).</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Like with the SPR001-201 clinical trial, in the SPR001-202 clinical trial, we conducted a post-hoc analysis which divided the subjects in this study into a poor disease control group and a good disease control, based on their hormone and androgen levels at baseline: poor disease control and good disease control. We observed that tildacerfont-treated patients who were in the poor disease control group had mean maximum reductions in ACTH,</w:t>
      </w: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17-OHP, and A4 of approximately 80% compared to baseline at 8:00 a.m., bringing the levels of these key hormones to near normal levels that are used as targets for standard glucocorticoid therapy. In addition, 60% of patients achieved normalization of ACTH levels, one subject at week two prior to discontinuation from the clinical trial and two subjects during month three, and 40% achieved normalization of A4 levels during month three. We are not aware of normalization of these highly elevated hormones in classic CAH patients with any other investigational product candidate without increases to daily steroid doses.</w:t>
      </w:r>
    </w:p>
    <w:p>
      <w:pPr>
        <w:spacing w:after="0" w:line="8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reflected in the figures below, we observed reductions in these hormones as early as the two-week time point and the reductions increased throughout the 12-week dosing period of the clinical trial. Last observation carried forward is applied for patients missing assessments during the 12-week period in the time course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141605</wp:posOffset>
            </wp:positionV>
            <wp:extent cx="4585970" cy="1156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8597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Change from baseline in ACTH (pg/mL) in poor and good disease control patients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163195</wp:posOffset>
            </wp:positionV>
            <wp:extent cx="2194560" cy="1157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945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12. Change from baseline in 17-OHP (ng/dL) in poor and good disease control patients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163195</wp:posOffset>
            </wp:positionV>
            <wp:extent cx="4585970" cy="1148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13. Change from baseline in A4 (ng/dL) in poor and good disease control patients (SPR001-202).</w:t>
      </w:r>
    </w:p>
    <w:p>
      <w:pPr>
        <w:spacing w:after="0" w:line="21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Upon completion of tildacerfont dosing at week 12, in poor disease control patients, levels of these disease-driving hormones increased, approaching their pre-trial baseline levels at follow-up, week 16. The results from this clinical trial are consistent with the ability of tildacerfont to inhibit CRF signaling, leading to reduction of adrenal stimulation by ACTH and the production of androgen precursors. Treatment with tildacerfont in this clinical trial led to this adrenal hormone and androgen reduction without requiring any change in the dose of glucocorticoids.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best response for each patient in the non-dexamethasone poor disease control group in month three is summarized below. The majority of patients achieved robust reductions. One patient discontinued prior to month three and is not included in this figure. This patient had reductions of 99%, 82% and 68% for ACTH, 17-OHP and A4, respectively, prior to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116205</wp:posOffset>
            </wp:positionV>
            <wp:extent cx="2854325" cy="1654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43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Figure 14. Change from baseline in hormones in poor disease control patients in month three (SPR001-202) at the individual patient level for subjects completing 12 weeks of treatment.</w:t>
      </w:r>
    </w:p>
    <w:p>
      <w:pPr>
        <w:spacing w:after="0" w:line="166"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Patients who were in good disease control upon entry to SPR001-202 had mean levels of ACTH, 17-OHP and A4 that were well below the target goal. Administration of tildacerfont to these patients did not lead to significant changes in these levels. We believe that this finding is important because it supports that there may be a limit as to how much tildacerfont can suppress adrenal function, which could reduce the risk that excess dosing with tildacerfont could lead to excessive levels of suppression. This is consistent with the results we observed in SPR001-201.</w:t>
      </w:r>
    </w:p>
    <w:p>
      <w:pPr>
        <w:spacing w:after="0" w:line="172"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Tildacerfont was well tolerated in SPR001-202. The most common adverse events were upper respiratory tract infection (n=2) and elevated A1c (n=2) and all four events deemed not related to tildacerfont treatment. The majority of events were grade one in nature. One subject discontinued study drug due to itching without a rash experienced between weeks two and four of treatment.</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Patients in poor disease control were receiving supraphysiologic glucocorticoid doses equivalent to approximately 25mg hydrocortisone daily. Based on the levels of ACTH, 17-OHP, and A4 at baseline, these glucocorticoid doses were insufficient to adequately suppress androgen synthesis. However, the addition of tildacerfont lowered the levels of these hormones by approximately 80%, bringing them close to normal levels. In contrast, patients who were in good disease control upon enrollment in the clinical trial were receiving supraphysiologic glucocorticoid doses equivalent to 36mg of hydrocortisone daily. Because the baseline levels of ACTH and A4 were all well below the target goal, we believe that these patients may have been receiving glucocorticoid doses that were higher than would be necessary with the addition of tildacerfont. Furthermore, we believe that treatment of these patients with tildacerfont could enable these patients to reduce their glucocorticoid doses. Over time, we believe that tildacerfont may enable both groups of patients to achieve potentially normal or markedly improved levels of androgen synthesis with minimized levels of glucocorticoid replacement.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Clinical Trials in Classic CAH</w:t>
      </w:r>
    </w:p>
    <w:p>
      <w:pPr>
        <w:spacing w:after="0" w:line="104"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We have two ongoing late-stage clinical trials in patients with classic CAH. CAHmelia-203, a randomized, double-blind, placebo-controlled, dose-ranging Phase 2b clinical trial will evaluate the safety and efficacy of tildacerfont in adults with classic CAH who are exhibiting high levels of adrenal hormones while on stable glucocorticoid dosing. This clinical trial will enroll approximately 72 patients who have elevated levels of A4. For the first six weeks, patients will receive blinded placebo to assess their adherence to their existing glucocorticoid therapy. Patients who continue to meet all eligibility criteria at the end of this period will enter a three-part treatment period. During the placebo-controlled treatment period, patients will be randomized in a blinded manner to receive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placebo, 50mg, 100mg, or 200mg tildacerfont once daily. Dosing in the placebo-controlled treatment period will continue for 12 weeks. The primary endpoint of the clinical trial will be the percentage change in A4 from baseline at week zero to week 12 with secondary endpoints including the proportion of patients with levels of 17-OHP and A4 within the target and normal range, respectively, and change in lesion volume of TARTs in men. Following the placebo-controlled treatment period, all patients will receive tildacerfont following a proposed dose-escalation protocol based on hormone response in which the dosage will be increased to 200mg once daily over 12 weeks. Following the 12-week dose-escalation period, all patients will continue receiving tildacerfont at 200mg once daily for an additional 46 weeks. Patients who achieve good disease control while on supraphysiologic glucocorticoid treatment will have the opportunity to taper down their glucocorticoid dosing in the open-label period according to a pre-specified algorithm in the protocol. Additional endpoints include clinical outcomes and patient and clinician reported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55245</wp:posOffset>
            </wp:positionV>
            <wp:extent cx="4714875" cy="1843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1487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15. Design of trial CAHmelia-203</w:t>
      </w:r>
    </w:p>
    <w:p>
      <w:pPr>
        <w:spacing w:after="0" w:line="18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also initiated CAHmelia-204, a randomized, double-blind, placebo-controlled clinical trial to evaluate the safety and efficacy of tildacerfont in reducing supraphysiologic glucocorticoid usage in approximately 90 adults with classic CAH in good disease control. This clinical trial is designed in two parts. In the first part of the clinical trial, patients will be randomized to receive 200mg tildacerfont once daily or placebo for 24 weeks. During the second part of the clinical trial, all patients will receive open-label 200mg tildacerfont once daily for 52 weeks. Throughout the trial, tapering of glucocorticoids will be guided according to a pre-specified algorithm and continue to the lowest level possible (replacement levels only), as long as patients remain well controlled based on standard biomarkers and clinical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111760</wp:posOffset>
            </wp:positionV>
            <wp:extent cx="4705985" cy="2049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0598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16. Design of trial CAHmelia-204</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 primary endpoint of this clinical trial will be the proportion of patients with reduction of glucocorticoid dose greater than or equal to 5 mg/day of hydrocortisone equivalent, or HCe, at week 24. The percent change in glucocorticoid dose from baseline to week 24 will be assessed as a secondary endpoint. Median total cumulative GC dose (HCe) at week 24, change from baseline in insulin resistance at week 24, and percent change from baseline in weight at week 24 and after 52 weeks of tildacerfont treatment will also be assessed as secondary endpoints. Effects on insulin resistance, weight, waist circumference, bone mineral density after 52 weeks of tildacerfont treatment will be assessed as exploratory endpoints.</w:t>
      </w:r>
    </w:p>
    <w:p>
      <w:pPr>
        <w:spacing w:after="0" w:line="15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Based on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registration.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 of Tildacerfont</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At birth, newborns with classic CAH are immediately faced with a risk of adrenal crisis, which produces symptoms that include vomiting, severe dehydration, low blood pressure, and life-threatening shock. Replacement glucocorticoid therapy, initiated immediately after diagnosis, remains the customary treatment for children with classic CAH. Glucocorticoid therapy is administered to avoid precocious puberty. The growth suppressing effects of glucocorticoids, however, combined with the early bone growth closure from elevated levels of adrenal androgens, limits the height potential of children impacted by classic CAH. Many patients with classic CAH complete growth prematurely and are ultimately short as adults. We believe tildacerfont has the potential to reduce both the levels of adrenal androgens and the need for excess glucocorticoids, which may enable management of classic CAH at doses of glucocorticoids near physiologic replacement levels, with potential to enable more normal growth progression through childhood and adolescence. We estimate that children represent approximately 20% of the total classic CAH patient population. We plan to investigate tildacerfont for the treatment of classic CAH in children as young as one year of age, and have initiated the clinical development program for tildacerfont in the pediatric classic CAH population with a Phase 2 open-label safety and pharmacokinetics study in subjects aged six to 17. We anticipate topline safety results from cohort 1 of the Phase 2 open-label clinical trial by the first half of 2023.</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Role of Tildacerfont in the Treatment of Polycystic Ovary Syndrome</w:t>
      </w:r>
    </w:p>
    <w:p>
      <w:pPr>
        <w:spacing w:after="0" w:line="104"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Females with PCOS present with additional symptoms, including hirsutism, alopecia, acne, infertility, weight gain, fatigue, depression and mood changes. The underlying causes of PCOS are unknown. However, excess insulin secretion and low-grade inflammation, which stimulate the polycystic ovaries, have been linked to androgen excess. The source of this androgen excess may be ovarian, adrenal, both adrenal and ovarian, or from other sources. Adrenal androgen excess in PCOS appears to occur independently of ovarian androgen excess, suggesting it may represent an intrinsic, and possible primary source of abnormal synthesis of androgens. Adrenal androgen excess in PCOS does not result from enzymatic deficiencies, rather it represents an altered adrenal responsivity to ACTH. We believe that, in women whose PCOS is caused by elevated adrenal androgens, tildacerfont may provide a therapeutic option to treat the underlying cause of disease through reductions of ACTH. We may pursue orphan drug designation in this patient population. By leveraging our existing Phase 1 program, which includes safety, tolerability, and pharmacokinetics of tildacerfont, we have initiated a Phase 2 proof-of-concept clinical trial. The Phase 2 proof-of-concept clinical trial is a randomized, placebo-controlled dose escalation study which will evaluate the safety and efficacy of tildacerfont titrated to 200 mg QD compared to placebo over 12 weeks of treatment in subjects with PCOS and elevated adrenal androgens as measured by DHEAS levels at baseline. We anticipate topline results from the Phase 2 proof-of-concept clinical trial by the first half of 2023.</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Role of Tildacerfont in the Treatment of Non-Classic CAH</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non-classic form of CAH, or non-classic CAH, also called late-onset CAH, occurs in approximately one in 1,000 of the general population. In females, non-classic CAH is characterized by a generally less severe dysregulation of cortisol production and clinically manifests with a variety of late-onset virilizing symptoms. Females may experience irregular periods, hirsutism, deep voice, and infertility. Some males and females may experience early onset puberty and rapid growth in childhood but short stature in adulthood. Other symptoms of non-classic CAH include low bone density, severe acne, obesity, and elevated lipids. Patients with non-classic CAH typically do not require glucocorticoids to replace deficiencies in cortisol levels. However, they possess high levels of adrenal androgens caused by the inability of their endogenous levels of cortisol to properly regulate ACTH production and adrenal stimulation. Although, genetic mutations have been associated with about 30% to 40% of residual 21-hydroxylase enzymatic activity, approximately 5% of patients presenting with non-classic CAH may have a mutation in one copy of the 21-hydroxylase gene, that results in clinical phenotype that is indistinguishable from classic CAH. We believe that tildacerfont has the potential to bring non-steroidal therapeutic benefit to these non-classic CAH patients with the severe form of disease.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0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other than a Lilly Compound, which we refer to collectively as the Lilly Licensed Products, for all pharmaceutical uses, including all diagnostic, therapeutic, and prophylactic uses, for human or animal administration, which we refer to as the Field. Lilly retained rights under the Lilly IP and the Lilly Licensed Patents for internal research purposes.</w:t>
      </w:r>
    </w:p>
    <w:p>
      <w:pPr>
        <w:spacing w:after="0" w:line="19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Under the License Agreement, we are required to use commercially reasonable efforts to develop and commercialize a Lilly Licensed Product in the Field. In addition, we are responsible to oversee, monitor, and manage all regulatory interactions, communications, and filings with, and submissions to regulatory authorities, with respect to the Lilly Licensed Products, and shall have final decision-making authority regarding all such regulatory activities, including the regulatory and labeling strategy and the content of submissions.</w:t>
      </w:r>
    </w:p>
    <w:p>
      <w:pPr>
        <w:spacing w:after="0" w:line="188" w:lineRule="exact"/>
        <w:rPr>
          <w:sz w:val="20"/>
          <w:szCs w:val="20"/>
          <w:color w:val="auto"/>
        </w:rPr>
      </w:pPr>
    </w:p>
    <w:p>
      <w:pPr>
        <w:ind w:right="180" w:firstLine="509"/>
        <w:spacing w:after="0" w:line="267" w:lineRule="auto"/>
        <w:rPr>
          <w:sz w:val="20"/>
          <w:szCs w:val="20"/>
          <w:color w:val="auto"/>
        </w:rPr>
      </w:pPr>
      <w:r>
        <w:rPr>
          <w:rFonts w:ascii="Arial" w:cs="Arial" w:eastAsia="Arial" w:hAnsi="Arial"/>
          <w:sz w:val="16"/>
          <w:szCs w:val="16"/>
          <w:color w:val="auto"/>
        </w:rPr>
        <w:t>As partial consideration for the rights granted to us under the License Agreement, we made a one-time upfront payment to Lilly of approximately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event, and are due shortly after achieving the applicable milestone. In addition, we are required to pay Lilly tiered royalties on annual worldwide net sales of Lilly Licensed Products in the Field, with rates ranging from mid-single-digits to sub-teens, or the Lilly Royalties. The Lilly Royalties shall commence on a country-by-country basis on the date of the first commercial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 come fully paid-up, royalty-free, perpetual and irrevocable. In addition, the Lilly Royalties may be reduced upon the occurrence of certain events.</w:t>
      </w:r>
    </w:p>
    <w:p>
      <w:pPr>
        <w:spacing w:after="0" w:line="159"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License Agreement shall remain in effect until the expiration of all payment obligations thereunder, unless terminated earlier as follows, (i) termination upon mutual agreement, (ii) unilateral termination by us, on a worldwide basis or with respect to any country or countries, in our sole discretion, upon 60 days’ advance written notice, (iii) unilateral termination by either party upon written notice of the other party’s material breach of its obligations under the License Agreement and failure to cure such breach within 90 days after receiving written notice of such breach, and (iv) unilateral termination by either party in the event of a general assignment for the benefit of creditors of the other party or if proceedings are commenced against such other party relating to bankruptcy, insolvency, liquidation, reorganization, winding up, or composition or adjustment of debt, and such proceedings continue undismissed, or an order with respect to the foregoing shall be entered and continue unabated, for a period of more than 60 days.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have developed and continue to expand our patent portfolio for tildacerfont. We have licensed from Lilly 32 patents in the United States and other countries throughout the world covering composition of matter of tildacerfont, which are expected to expire in 2027, absent any patent term adjustments or extensions. We also have pending applications from the same family in Venezuela, and Pakistan covering tildacerfont, which, if issued, would also be expected to expire in 2027, absent any patent term adjustments or extensions. Additionally, we have licensed patents in the United States and other countries from Lilly covering methods of making tildacerfont, which are expected to expire in 2029, absent any patent term adjustments or extensions.</w:t>
      </w:r>
    </w:p>
    <w:p>
      <w:pPr>
        <w:spacing w:after="0" w:line="189"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have filed our own patent applications in the United States and other countries throughout the world directed to various methods of use and formulations, and two of these applications have been issued. The issued patents are expected to expire in 2038. The remaining patent applications, if issued, would be expected to expire between 2038 and 2042, absent any patent term adjustments or extensions. We have also filed an international patent application and applications in Argentina and Taiwan directed to combination therapies as well as further uses of tildacerfont. Any patents that would issue from these applications would be expected to expire no later than 2040, absent any patent term adjustments or extensions. We have also filed a provisional application directed to various forms of tildacerfont. Any patents that would issue from this application would be expected to expire around 2042, absent any patent term adjustments or extension. Patents related to tildacerfont may be eligible for patent term extensions in certain jurisdictions, including up to five years in both the United States and the EU, upon approval of a commercial use of the corresponding product by a regulatory agency in the jurisdiction where the patent was granted.</w:t>
      </w:r>
    </w:p>
    <w:p>
      <w:pPr>
        <w:spacing w:after="0" w:line="184" w:lineRule="exact"/>
        <w:rPr>
          <w:sz w:val="20"/>
          <w:szCs w:val="20"/>
          <w:color w:val="auto"/>
        </w:rPr>
      </w:pPr>
    </w:p>
    <w:p>
      <w:pPr>
        <w:ind w:right="520" w:firstLine="509"/>
        <w:spacing w:after="0" w:line="243" w:lineRule="auto"/>
        <w:rPr>
          <w:sz w:val="20"/>
          <w:szCs w:val="20"/>
          <w:color w:val="auto"/>
        </w:rPr>
      </w:pPr>
      <w:r>
        <w:rPr>
          <w:rFonts w:ascii="Arial" w:cs="Arial" w:eastAsia="Arial" w:hAnsi="Arial"/>
          <w:sz w:val="18"/>
          <w:szCs w:val="18"/>
          <w:color w:val="auto"/>
        </w:rPr>
        <w:t>In addition to patent protection, we rely on trade secret protection and know-how to expand our proprietary position around our chemistry, technology, and other discoveries and inventions that we consider important to our business. Under the License Agreement, Lilly granted intellectual property rights to know-how that are important to our business. The License Agreement imposes various development, regulatory, and commercial diligence obligations, payment of milestones and/or royalties, and other obligations.</w:t>
      </w:r>
    </w:p>
    <w:p>
      <w:pPr>
        <w:spacing w:after="0" w:line="18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addition, we have been granted orphan drug designation for tildacerfont for the treatment of patients with CAH in the United States and the EU, providing the opportunity to receive seven years of market exclusivity in the United States, which can be extended to seven and a half years if clinical trials are conducted in accordance with an agreed-upon pediatric investigational plan, and ten years of market exclusivity in the EU, which can be extended to 12 years in the EU if clinical trials are conducted in accordance with an agreed-upon PIP.</w:t>
      </w:r>
    </w:p>
    <w:p>
      <w:pPr>
        <w:spacing w:after="0" w:line="188" w:lineRule="exact"/>
        <w:rPr>
          <w:sz w:val="20"/>
          <w:szCs w:val="20"/>
          <w:color w:val="auto"/>
        </w:rPr>
      </w:pPr>
    </w:p>
    <w:p>
      <w:pPr>
        <w:ind w:right="580" w:firstLine="509"/>
        <w:spacing w:after="0" w:line="244" w:lineRule="auto"/>
        <w:rPr>
          <w:sz w:val="20"/>
          <w:szCs w:val="20"/>
          <w:color w:val="auto"/>
        </w:rPr>
      </w:pPr>
      <w:r>
        <w:rPr>
          <w:rFonts w:ascii="Arial" w:cs="Arial" w:eastAsia="Arial" w:hAnsi="Arial"/>
          <w:sz w:val="18"/>
          <w:szCs w:val="18"/>
          <w:color w:val="auto"/>
        </w:rPr>
        <w:t>If approved in the United States, as tildacerfont has not previously been approved in the United States for any indication, tildacerfont may be eligible for five years of new chemical entity exclusivity, which would run currently</w:t>
      </w: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9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with its seven years of orphan drug exclusivity if we obtain orphan drug exclusivity for its approved uses. Further, if approved in the EU, as tildacerfont has not previously been approved in the EU for any indication, tildacerfont may be eligible for eight years of data exclusivity, as well as two years of market exclusivity. In the EU, an additional one year of exclusivity may be obtained if tildacerfont is approved for a new indication that provides a significant clinical benefit.</w:t>
      </w:r>
    </w:p>
    <w:p>
      <w:pPr>
        <w:spacing w:after="0" w:line="18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We also seek to protect our intellectual property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w:t>
      </w:r>
    </w:p>
    <w:p>
      <w:pPr>
        <w:spacing w:after="0" w:line="15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In addition to patent protection around tildacerfont, we have also licensed from Lilly patents in the United States and other countries throughout the world directed to composition of matter around other CRF1 antagonists.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rely on contract manufacturing organizations, or CMOs, to produce tildacerfont in accordance with the FDA’s current Good Manufacturing Practices, or cGMP, regulations for use in our clinical trials. The manufacture of pharmaceuticals for human use is subject to extensive cGMP regulations, which impose various procedural and documentation requirements and govern all areas of record keeping, production processes and controls, personnel training, and quality control. Tildacerfont is manufactured using common chemical engineering and synthetic processes from readily available raw materials. We have entered into manufacturing, development, and clinical supply agreements with our CMOs that provide for the procurement of active pharmaceutical ingredient, or API, and drug product in connection with our planned and future clinical trials. These agreements contain no minimum purchase commitments or other purchase obligations. To date, the CMOs have met our manufacturing requirements, and we expect them to be capable of providing sufficient quantities of API and our drug product to meet estimated full-scale commercial needs. We plan to enter into commercial manufacturing and supply agreements with our CMOs prior to commercialization of tildacerfont, if approved, in the United States and Europe. Our relationships with CMOs are managed by internal personnel with extensive experience in pharmaceutical development and manufacturing.</w:t>
      </w:r>
    </w:p>
    <w:p>
      <w:pPr>
        <w:spacing w:after="0" w:line="171" w:lineRule="exact"/>
        <w:rPr>
          <w:sz w:val="20"/>
          <w:szCs w:val="20"/>
          <w:color w:val="auto"/>
        </w:rPr>
      </w:pPr>
    </w:p>
    <w:p>
      <w:pPr>
        <w:jc w:val="both"/>
        <w:ind w:right="120" w:firstLine="509"/>
        <w:spacing w:after="0" w:line="324" w:lineRule="auto"/>
        <w:rPr>
          <w:sz w:val="20"/>
          <w:szCs w:val="20"/>
          <w:color w:val="auto"/>
        </w:rPr>
      </w:pPr>
      <w:r>
        <w:rPr>
          <w:rFonts w:ascii="Arial" w:cs="Arial" w:eastAsia="Arial" w:hAnsi="Arial"/>
          <w:sz w:val="16"/>
          <w:szCs w:val="16"/>
          <w:color w:val="auto"/>
        </w:rPr>
        <w:t>Our contract manufacturing agreements give us visibility into the expected future cost of producing tildacerfont at commercial scale. Based upon a range of prices of currently marketed therapies indicated for orphan diseases, we believe that our cost of goods for tildacerfont will be highly competitive.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commercialization of new drugs is competitive, and we may face worldwide competition from major pharmaceutical companies, specialty pharmaceutical companies, biotechnology companies, and ultimately generic companies. Our competitors may develop or market therapies that are more effective, safer, or less costly than any that we are commercializing, or may obtain regulatory or reimbursement approval for their therapies more rapidly than we may obtain approval for ours.</w:t>
      </w:r>
    </w:p>
    <w:p>
      <w:pPr>
        <w:spacing w:after="0" w:line="188"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We are aware of other companies actively developing treatments for patients with classic CAH. Neurocrine Biosciences, Inc., or Neurocrine, is developing a CRF1 receptor antagonist and has completed a two-week Phase 2 clinical trial in adults with classic CAH. Neurocrine initiated a Phase 2 clinical trial in a pediatric classic CAH population and registrational trials for adult and pediatric patients with classic CAH. BridgeBio Pharma, Inc. is evaluating an AAV5 gene therapy product candidate to treat classic CAH in a Phase 1/2 proof of concept clinical trial. In addition, Crinetics Pharmaceuticals, Inc. initiated a Phase 1 clinical trial to evaluate the ability of an oral ACTH antagonist to suppress ACTH-stimulated secretion in healthy volunteers and reported preliminary findings from the single ascending dose portion of the study.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In addition, while tildacerfont ultimately seeks to significantly reduce steroid use for patients with classic CAH, patients will continue use of their steroid regimen. As high doses of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Diurnal submitted a MAA to the EMA in December of 2019. In March 2021, the EMA announced a positive opinion from the Committee for Medicinal Products for Human Use, or CHMP, on granting marketing approval for its exogenous cortisol treatment with a modified release for the treatment of adults and adolescents aged 12 and over with CAH. Diurnal announced that it has launched in the EU. Diurnal also announced that the FDA agreed to a special protocol assessment for a Phase 3 trial of its exogenous cortisol treatment with a modified release for the treatments of patients aged 16 and over with CAH.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8"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 are addressed in a centralized way, but country-specific regulation remains essential in many respects.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73" w:lineRule="exact"/>
        <w:rPr>
          <w:sz w:val="20"/>
          <w:szCs w:val="20"/>
          <w:color w:val="auto"/>
        </w:rPr>
      </w:pPr>
    </w:p>
    <w:p>
      <w:pPr>
        <w:ind w:left="1020" w:right="660" w:hanging="503"/>
        <w:spacing w:after="0" w:line="29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completion of extensive preclinical laboratory tests, preclinical animal studies and formulation studies in accordance </w:t>
      </w:r>
      <w:r>
        <w:rPr>
          <w:rFonts w:ascii="Arial" w:cs="Arial" w:eastAsia="Arial" w:hAnsi="Arial"/>
          <w:sz w:val="17"/>
          <w:szCs w:val="17"/>
          <w:i w:val="1"/>
          <w:iCs w:val="1"/>
          <w:color w:val="auto"/>
        </w:rPr>
        <w:t>with</w:t>
      </w:r>
      <w:r>
        <w:rPr>
          <w:rFonts w:ascii="Arial" w:cs="Arial" w:eastAsia="Arial" w:hAnsi="Arial"/>
          <w:sz w:val="17"/>
          <w:szCs w:val="17"/>
          <w:color w:val="auto"/>
        </w:rPr>
        <w:t xml:space="preserve"> applicable regulations, including the FDA’s Good Laboratory Practices, or GLP, regulations, and other applicable regulations;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submission </w:t>
      </w:r>
      <w:r>
        <w:rPr>
          <w:rFonts w:ascii="Arial" w:cs="Arial" w:eastAsia="Arial" w:hAnsi="Arial"/>
          <w:sz w:val="18"/>
          <w:szCs w:val="18"/>
          <w:color w:val="auto"/>
        </w:rPr>
        <w:t>to the FDA of an IND, which must become effective before human clinical trials may begin;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approval </w:t>
      </w:r>
      <w:r>
        <w:rPr>
          <w:rFonts w:ascii="Arial" w:cs="Arial" w:eastAsia="Arial" w:hAnsi="Arial"/>
          <w:sz w:val="18"/>
          <w:szCs w:val="18"/>
          <w:color w:val="auto"/>
        </w:rPr>
        <w:t>by an IRB at each clinical site before each clinical trial may be initiated;</w:t>
      </w:r>
    </w:p>
    <w:p>
      <w:pPr>
        <w:spacing w:after="0" w:line="103" w:lineRule="exact"/>
        <w:rPr>
          <w:rFonts w:ascii="Arial" w:cs="Arial" w:eastAsia="Arial" w:hAnsi="Arial"/>
          <w:sz w:val="18"/>
          <w:szCs w:val="18"/>
          <w:color w:val="auto"/>
        </w:rPr>
      </w:pPr>
    </w:p>
    <w:p>
      <w:pPr>
        <w:ind w:left="1020" w:right="320" w:hanging="503"/>
        <w:spacing w:after="0" w:line="32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performance of adequate and well-controlled human clinical trials in accordance with applicable regulations,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the FDA’s current good clinical practices, or GCP, regulations to establish the safety and efficacy of the proposed drug for its proposed indication;</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for a new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03" w:lineRule="exact"/>
        <w:rPr>
          <w:rFonts w:ascii="Arial" w:cs="Arial" w:eastAsia="Arial" w:hAnsi="Arial"/>
          <w:sz w:val="18"/>
          <w:szCs w:val="18"/>
          <w:color w:val="auto"/>
        </w:rPr>
      </w:pPr>
    </w:p>
    <w:p>
      <w:pPr>
        <w:ind w:left="1020" w:right="300" w:hanging="503"/>
        <w:spacing w:after="0" w:line="24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cGMP requirements to assure</w:t>
      </w: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that the facilities, methods and controls are adequate to preserve the drug’s identity, strength, quality, and purity;</w:t>
      </w:r>
    </w:p>
    <w:p>
      <w:pPr>
        <w:spacing w:after="0" w:line="104"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w:t>
      </w:r>
    </w:p>
    <w:p>
      <w:pPr>
        <w:spacing w:after="0" w:line="18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020" w:right="80" w:hanging="503"/>
        <w:spacing w:after="0" w:line="24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initially introduced into healthy human subjects and tested for safety, dosage tolerance, absorption, metabolism,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and excretion, the side effects associated with increasing doses and if </w:t>
      </w:r>
      <w:r>
        <w:rPr>
          <w:rFonts w:ascii="Arial" w:cs="Arial" w:eastAsia="Arial" w:hAnsi="Arial"/>
          <w:sz w:val="18"/>
          <w:szCs w:val="18"/>
          <w:i w:val="1"/>
          <w:iCs w:val="1"/>
          <w:color w:val="auto"/>
        </w:rPr>
        <w:t>possible</w:t>
      </w:r>
      <w:r>
        <w:rPr>
          <w:rFonts w:ascii="Arial" w:cs="Arial" w:eastAsia="Arial" w:hAnsi="Arial"/>
          <w:sz w:val="18"/>
          <w:szCs w:val="18"/>
          <w:color w:val="auto"/>
        </w:rPr>
        <w:t>,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9"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w:t>
      </w:r>
      <w:r>
        <w:rPr>
          <w:rFonts w:ascii="Arial" w:cs="Arial" w:eastAsia="Arial" w:hAnsi="Arial"/>
          <w:sz w:val="18"/>
          <w:szCs w:val="18"/>
          <w:i w:val="1"/>
          <w:iCs w:val="1"/>
          <w:color w:val="auto"/>
        </w:rPr>
        <w:t xml:space="preserve"> to </w:t>
      </w:r>
      <w:r>
        <w:rPr>
          <w:rFonts w:ascii="Arial" w:cs="Arial" w:eastAsia="Arial" w:hAnsi="Arial"/>
          <w:sz w:val="18"/>
          <w:szCs w:val="18"/>
          <w:color w:val="auto"/>
        </w:rPr>
        <w:t>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or conditions and to determine dosage tolerance, optimal dosage, and dosing schedule.</w:t>
      </w:r>
    </w:p>
    <w:p>
      <w:pPr>
        <w:spacing w:after="0" w:line="73" w:lineRule="exact"/>
        <w:rPr>
          <w:rFonts w:ascii="Arial" w:cs="Arial" w:eastAsia="Arial" w:hAnsi="Arial"/>
          <w:sz w:val="18"/>
          <w:szCs w:val="18"/>
          <w:color w:val="auto"/>
        </w:rPr>
      </w:pPr>
    </w:p>
    <w:p>
      <w:pPr>
        <w:ind w:left="1020" w:right="160" w:hanging="503"/>
        <w:spacing w:after="0" w:line="24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w:t>
      </w:r>
      <w:r>
        <w:rPr>
          <w:rFonts w:ascii="Arial" w:cs="Arial" w:eastAsia="Arial" w:hAnsi="Arial"/>
          <w:sz w:val="18"/>
          <w:szCs w:val="18"/>
          <w:i w:val="1"/>
          <w:iCs w:val="1"/>
          <w:color w:val="auto"/>
        </w:rPr>
        <w:t xml:space="preserve"> Clinical </w:t>
      </w:r>
      <w:r>
        <w:rPr>
          <w:rFonts w:ascii="Arial" w:cs="Arial" w:eastAsia="Arial" w:hAnsi="Arial"/>
          <w:sz w:val="18"/>
          <w:szCs w:val="18"/>
          <w:color w:val="auto"/>
        </w:rPr>
        <w:t>trials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188"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some cases, FDA may require, or sponsors may voluntarily pursue, post-approval studies, or Phase 4 clinical trials, that are conducted after initial marketing approval. These trials are used to gain additional experience</w:t>
      </w: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w:t>
      </w:r>
    </w:p>
    <w:p>
      <w:pPr>
        <w:spacing w:after="0" w:line="12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18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0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8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86"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or PDUFA, guidelines that are currently in effect, the FDA has a goal of ten months from the date of “filing” of a standard NDA for a new molecular entity to review and act on the submission.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This review typically takes 12 months from the date the NDA is submitted to FDA because the FDA has approximately two months to make a “filing” decision after the application is submitted. The FDA does not always meet its PDUFA goal dates for standard and priority NDAs, and the review process is often significantly extended by FDA requests for additional information or clarification.</w:t>
      </w:r>
    </w:p>
    <w:p>
      <w:pPr>
        <w:spacing w:after="0" w:line="182"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6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 has similar but not identical benefits in that jurisdiction.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manufacturing,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w:t>
      </w:r>
    </w:p>
    <w:p>
      <w:pPr>
        <w:spacing w:after="0" w:line="18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9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fines, </w:t>
      </w:r>
      <w:r>
        <w:rPr>
          <w:rFonts w:ascii="Arial" w:cs="Arial" w:eastAsia="Arial" w:hAnsi="Arial"/>
          <w:sz w:val="18"/>
          <w:szCs w:val="18"/>
          <w:i w:val="1"/>
          <w:iCs w:val="1"/>
          <w:color w:val="auto"/>
        </w:rPr>
        <w:t>warning</w:t>
      </w:r>
      <w:r>
        <w:rPr>
          <w:rFonts w:ascii="Arial" w:cs="Arial" w:eastAsia="Arial" w:hAnsi="Arial"/>
          <w:sz w:val="18"/>
          <w:szCs w:val="18"/>
          <w:color w:val="auto"/>
        </w:rPr>
        <w:t xml:space="preserve"> letters,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clinical </w:t>
      </w:r>
      <w:r>
        <w:rPr>
          <w:rFonts w:ascii="Arial" w:cs="Arial" w:eastAsia="Arial" w:hAnsi="Arial"/>
          <w:sz w:val="18"/>
          <w:szCs w:val="18"/>
          <w:i w:val="1"/>
          <w:iCs w:val="1"/>
          <w:color w:val="auto"/>
        </w:rPr>
        <w:t>holds</w:t>
      </w:r>
      <w:r>
        <w:rPr>
          <w:rFonts w:ascii="Arial" w:cs="Arial" w:eastAsia="Arial" w:hAnsi="Arial"/>
          <w:sz w:val="18"/>
          <w:szCs w:val="18"/>
          <w:color w:val="auto"/>
        </w:rPr>
        <w:t xml:space="preserve"> on clinical trials;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refusal of the FDA to approve pending applications or supplements to approved applications, or suspension or revocation </w:t>
      </w:r>
      <w:r>
        <w:rPr>
          <w:rFonts w:ascii="Arial" w:cs="Arial" w:eastAsia="Arial" w:hAnsi="Arial"/>
          <w:sz w:val="18"/>
          <w:szCs w:val="18"/>
          <w:i w:val="1"/>
          <w:iCs w:val="1"/>
          <w:color w:val="auto"/>
        </w:rPr>
        <w:t>of</w:t>
      </w:r>
      <w:r>
        <w:rPr>
          <w:rFonts w:ascii="Arial" w:cs="Arial" w:eastAsia="Arial" w:hAnsi="Arial"/>
          <w:sz w:val="18"/>
          <w:szCs w:val="18"/>
          <w:color w:val="auto"/>
        </w:rPr>
        <w:t xml:space="preserve">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seizure or detention, or refusal to permit the import or export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consent </w:t>
      </w:r>
      <w:r>
        <w:rPr>
          <w:rFonts w:ascii="Arial" w:cs="Arial" w:eastAsia="Arial" w:hAnsi="Arial"/>
          <w:sz w:val="18"/>
          <w:szCs w:val="18"/>
          <w:color w:val="auto"/>
        </w:rPr>
        <w:t>decrees, corporate integrity agreements, debarment, or exclusion from federal healthcare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mandated </w:t>
      </w:r>
      <w:r>
        <w:rPr>
          <w:rFonts w:ascii="Arial" w:cs="Arial" w:eastAsia="Arial" w:hAnsi="Arial"/>
          <w:sz w:val="18"/>
          <w:szCs w:val="18"/>
          <w:color w:val="auto"/>
        </w:rPr>
        <w:t>modification of promotional materials and labeling and the issuance of corrective information;</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1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 injunctions or the imposition of civil or criminal penalties.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189"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6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required to conduct or obtain a right of reference to all of the preclinical studies and adequate and well-controlled clinical trials necessary to demonstrate safety and effectiveness.</w:t>
      </w:r>
    </w:p>
    <w:p>
      <w:pPr>
        <w:spacing w:after="0" w:line="171"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04"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privacy and security, price reporting, and physician sunshine laws and regulations.</w:t>
      </w:r>
    </w:p>
    <w:p>
      <w:pPr>
        <w:spacing w:after="0" w:line="188"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86"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Additionally, the intent standard under the Anti-Kickback Statute and the criminal healthcare fraud statutes (discussed below) was amended by the Patient Protection and Affordable Care Act, as amended by the Health Care and Education Reconciliation Act, together with subsequent amendments and regulations,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(discussed below).</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w:t>
      </w:r>
    </w:p>
    <w:p>
      <w:pPr>
        <w:spacing w:after="0" w:line="191"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abuse statutes or regulations that apply to items and services reimbursed under Medicaid and other state programs, or, in several states, apply regardless of the payor.</w:t>
      </w:r>
    </w:p>
    <w:p>
      <w:pPr>
        <w:spacing w:after="0" w:line="171"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certain other healthcare professionals (such as physician assistants and nurse practitioners), and teaching hospitals, certain ownership and investment interests held by physicians and their immediate family members.</w:t>
      </w:r>
    </w:p>
    <w:p>
      <w:pPr>
        <w:spacing w:after="0" w:line="189"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may also be subject to data privacy and security regulations by both the federal government and the states in which we conduct our business. HIPAA, as amended by the Health Information Technology for Economic and Clinical Health Act, or HITECH, and its implementing regulations, impose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and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80"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0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6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or VHCA, drug companies are required to offer certain drugs at a reduced price to a number of federal agencies, including the U.S. Department of Veterans Affairs and the U.S.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18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Among the Affordable Care Act’s provisions of importance to the pharmaceutical industry, in addition to those otherwise described above, are the following:</w:t>
      </w:r>
    </w:p>
    <w:p>
      <w:pPr>
        <w:spacing w:after="0" w:line="63" w:lineRule="exact"/>
        <w:rPr>
          <w:sz w:val="20"/>
          <w:szCs w:val="20"/>
          <w:color w:val="auto"/>
        </w:rPr>
      </w:pPr>
    </w:p>
    <w:p>
      <w:pPr>
        <w:ind w:left="1020" w:right="38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8" w:lineRule="exact"/>
        <w:rPr>
          <w:rFonts w:ascii="Arial" w:cs="Arial" w:eastAsia="Arial" w:hAnsi="Arial"/>
          <w:sz w:val="17"/>
          <w:szCs w:val="17"/>
          <w:color w:val="auto"/>
        </w:rPr>
      </w:pPr>
    </w:p>
    <w:p>
      <w:pPr>
        <w:ind w:left="1020" w:right="24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or AMP;</w:t>
      </w:r>
    </w:p>
    <w:p>
      <w:pPr>
        <w:spacing w:after="0" w:line="73"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20" w:right="16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There have been executive, judicial and Congressional challenges to certain aspects of the Affordable Care Act. For example, the Tax Cuts and Jobs Act of 2017, or the Tax Act, was enacted,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 the Affordable Care Act is unconstitutional in its entirety because the "individual mandate" was repealed by Congress. Thus, the Affordable Care Act remains in effect in its current form. Prior to the U.S. Supreme Court ruling, on January 28, 2021, President Biden issued an executive order to initiate a special enrollment period from February 15, 2021 through August 15, 2021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such challenges and the healthcare reform measures of the Biden administration will impact the Affordable Care Act and our business.</w:t>
      </w:r>
    </w:p>
    <w:p>
      <w:pPr>
        <w:spacing w:after="0" w:line="17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Other legislative changes have also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due to the COVID-19 pandemic, unless additional Congressional action is taken. Under current legislation, the actual reduction in Medicare payments will vary from 1% in 2022 to up to 3% in the final fiscal year of this sequester.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There has also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anticipate that these new laws and executive orders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 Further, it is possible that additional government action is taken in response to the COVID-19 pandemic.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04"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HIPAA, as amended by HITECH, and its implementing regulations, impose requirements relating to the privacy, security and transmission of individually identifiable health information on certain health care providers, health plans and health care clearinghouses, known as covered entities, and their business associates that perform certain services that involve creating, receiving, maintaining or transmitting individually identifiable health information for or on behalf of such covered entities as well as their covered subcontractors.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8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state laws govern the privacy and security of health information in specified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California Consumer Privacy Act, or the CCPA, requires covered companies to provide new disclosure to consumers about such companies’ data collection, use and sharing practices, provide such consumers new ways to opt-out of certain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sales or transfers of personal information, and provide consumers with additional causes of action. The CCPA became effective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89"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We also are or will become subject to privacy laws in the jurisdictions in which we are established or in which we sell or market our products or run clinical trials. For example, in the European Economic Area, or EEA, we are subject to Regulation (EU) 2016/679, the GDPR, in relation to our collection, control, processing, and other use of personal data (i.e. data relating to an identified or identifiable living individual). We process personal data in relation to participants in our clinical trials in the EEA including the health and medical information of these participants. The GDPR is directly applicable in each EU and EEA Member State, and, by operation of the so-called UK GDPR, on which see more below, continues to apply in substantially equivalent form in the context of the United Kingdom-related establishments and processing operations, and may therefore apply in the context of our United Kingdom-related processing operations. The GDPR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w:t>
      </w:r>
    </w:p>
    <w:p>
      <w:pPr>
        <w:spacing w:after="0" w:line="194" w:lineRule="exact"/>
        <w:rPr>
          <w:sz w:val="20"/>
          <w:szCs w:val="20"/>
          <w:color w:val="auto"/>
        </w:rPr>
      </w:pPr>
    </w:p>
    <w:p>
      <w:pPr>
        <w:ind w:right="20" w:firstLine="509"/>
        <w:spacing w:after="0" w:line="249" w:lineRule="auto"/>
        <w:rPr>
          <w:sz w:val="20"/>
          <w:szCs w:val="20"/>
          <w:color w:val="auto"/>
        </w:rPr>
      </w:pPr>
      <w:r>
        <w:rPr>
          <w:rFonts w:ascii="Arial" w:cs="Arial" w:eastAsia="Arial" w:hAnsi="Arial"/>
          <w:sz w:val="17"/>
          <w:szCs w:val="17"/>
          <w:color w:val="auto"/>
        </w:rPr>
        <w:t>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similarly confirmed that the EU U.S. Privacy Shield could not be used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172"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We are subject to the supervision of local data protection authorities in those EU jurisdictions where we are established or otherwise subject to the GDPR, and we maintain an office in Switzerland, which has its own set of stringent privacy and data protection laws and regulations. Fines for certain breaches of the GDPR are significant: up to the greater of €20 million or 4% of total global annual turnover. Further, the United Kingdom’s vote in favor of exiting the European Union, often referred to as Brexit, and ongoing developments in the United Kingdom have created uncertainty with regard to data protection regulation in the United Kingdom. However, the data protection obligations of the GDPR continue to apply to United Kingdom-related processing of personal data in substantially unvaried form under the so-called “UK GDPR” (i.e., the GDPR as it continues to form part of law in the United Kingdom by virtue of section 3 of the European Union (Withdrawal) Act 2018, as amended (including by the various Data Protection, Privacy and Electronic Communications (Amendments etc) (EU Exit) Regulations); so, when we refer to the GDPR in this section, unless we draw specific distinction or the context otherwise requires, we are also making reference to the UK GDPR in the context of the United Kingdom. The existence of two parallel regimes means there will be increasing scope for divergence in application, interpretation and enforcement of the data protection law as between the United Kingdom and EEA. However, on June 28, 2021, the European Commission issued an adequacy decision under the European Union’s GDPR which allows transfers (other than those carried out for the purposes of United Kingdom immigration control) of personal data from the EEA to the United Kingdom to continue without restriction for a period of four years ending June 27, 2025. After that period, the adequacy decision may be renewed only if the United Kingdom continues to ensure an adequate level of data protection. During these four years, the European Commission will continue to monitor the legal situation in the United Kingdom and could intervene at any point if the United Kingdom deviates from the level of data protection in place at the time of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 which could disrupt our operations.</w:t>
      </w:r>
    </w:p>
    <w:p>
      <w:pPr>
        <w:spacing w:after="0" w:line="17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Additionally, as noted above, the United Kingdom has transposed the GDPR into United Kingdom domestic law by way of the UK GDPR with effect from January 2021, which could expose us to two parallel regimes, each of which potentially authorizes similar fines and other potentially divergent enforcement actions for certain violations. Also, the United Kingdom Information Commissioner’s Office is not able to be our “lead supervisory authority” in respect of any “cross border processing” for the purposes of the European Union's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could be investigated by, and ultimately fined or otherwise sanctioned by the United Kingdom Information Commissioner’s Office and the supervisory authority in each and every EEA member state where data subjects have been affected by such violation.</w:t>
      </w:r>
    </w:p>
    <w:p>
      <w:pPr>
        <w:spacing w:after="0" w:line="171"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For more information on the potential impact of the GDPR, and associated EEA and UK data protection laws, on our business, see the section titled “Risk Factors—Failure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U.S. Foreign Corrupt Practices Act of 1977,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9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2"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To obtain regulatory approval of an investigational drug or biological product under the EU regulatory systems, we must submit a marketing authorization application either under the so-called centralized or national authorization procedures.</w:t>
      </w:r>
    </w:p>
    <w:p>
      <w:pPr>
        <w:spacing w:after="0" w:line="171" w:lineRule="exact"/>
        <w:rPr>
          <w:sz w:val="20"/>
          <w:szCs w:val="20"/>
          <w:color w:val="auto"/>
        </w:rPr>
      </w:pPr>
    </w:p>
    <w:p>
      <w:pPr>
        <w:ind w:right="80" w:firstLine="509"/>
        <w:spacing w:after="0" w:line="250" w:lineRule="auto"/>
        <w:rPr>
          <w:sz w:val="20"/>
          <w:szCs w:val="20"/>
          <w:color w:val="auto"/>
        </w:rPr>
      </w:pPr>
      <w:r>
        <w:rPr>
          <w:rFonts w:ascii="Arial" w:cs="Arial" w:eastAsia="Arial" w:hAnsi="Arial"/>
          <w:sz w:val="17"/>
          <w:szCs w:val="17"/>
          <w:i w:val="1"/>
          <w:iCs w:val="1"/>
          <w:color w:val="auto"/>
        </w:rPr>
        <w:t xml:space="preserve">Centralized procedure. </w:t>
      </w:r>
      <w:r>
        <w:rPr>
          <w:rFonts w:ascii="Arial" w:cs="Arial" w:eastAsia="Arial" w:hAnsi="Arial"/>
          <w:sz w:val="17"/>
          <w:szCs w:val="17"/>
          <w:color w:val="auto"/>
        </w:rPr>
        <w:t>The centralized procedure provides for the grant of a single marketing authorization, which is issued by the European</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based on the opinion of the Committee for Medicinal Products for Human Use, or the CHMP, of the EMA and that is valid in all EU Member States, as well as Iceland, Liechtenstein and Norway. The Centralized Procedure is mandatory for certain types of products, such as biotechnology medicinal products, orphan medicinal products, and medicines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an MAA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from the viewpoint of therapeutic innovation. Under the accelerated procedure the standard 210-day review period is reduced to 150 days.</w:t>
      </w:r>
    </w:p>
    <w:p>
      <w:pPr>
        <w:spacing w:after="0" w:line="104" w:lineRule="exact"/>
        <w:rPr>
          <w:sz w:val="20"/>
          <w:szCs w:val="20"/>
          <w:color w:val="auto"/>
        </w:rPr>
      </w:pPr>
    </w:p>
    <w:p>
      <w:pPr>
        <w:ind w:left="1020" w:right="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 There are also two other possible routes to authorize medicinal products in several EU countries,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available for investigational medicinal products that fall outside the scope of the centralized procedure:</w:t>
      </w:r>
    </w:p>
    <w:p>
      <w:pPr>
        <w:spacing w:after="0" w:line="62"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authorizations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Member State and that do not fall within the mandatory scope of the centralized procedure.</w:t>
      </w:r>
    </w:p>
    <w:p>
      <w:pPr>
        <w:spacing w:after="0" w:line="73" w:lineRule="exact"/>
        <w:rPr>
          <w:rFonts w:ascii="Arial" w:cs="Arial" w:eastAsia="Arial" w:hAnsi="Arial"/>
          <w:sz w:val="18"/>
          <w:szCs w:val="18"/>
          <w:color w:val="auto"/>
        </w:rPr>
      </w:pPr>
    </w:p>
    <w:p>
      <w:pPr>
        <w:ind w:left="1020" w:right="100" w:hanging="503"/>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Mutual recognition procedure</w:t>
      </w:r>
      <w:r>
        <w:rPr>
          <w:rFonts w:ascii="Arial" w:cs="Arial" w:eastAsia="Arial" w:hAnsi="Arial"/>
          <w:sz w:val="16"/>
          <w:szCs w:val="16"/>
          <w:color w:val="auto"/>
        </w:rPr>
        <w:t>. In the mutual recognition procedure, a medicine is first authorized in one EU Member State,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4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qualify for data exclusivity.</w:t>
      </w:r>
    </w:p>
    <w:p>
      <w:pPr>
        <w:spacing w:after="0" w:line="1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European Commission, on the basis of the opinion of the Committee for Orphan Medicinal Products of the EMA, grants orphan drug designation to promote the development of products that may offer therapeutic benefits for life-threatening or chronically debilitating conditions affecting not more than five in 10,000 people in the EU. In addition, orphan drug designation can be granted if the drug is intended for a life threatening, seriously debilitating or serious and chronic condition in the EU and without incentives it is unlikely that sales of the drug in the EU would be sufficient to justify developing the drug. Orphan drug designation is only available if there is no other satisfactory method approved in the EU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147"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As of December 31, 2021, we had 15 employees, including nine in research and development and six in general and administrative functions. We believe our employee relations are good.</w:t>
      </w: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 In response to the COVID-19 pandemic, we implemented significant changes that we determined were in the best interest of our employees, as well as the communities in which we operate, and which comply with government regulations. This includes allowing our employees to work from home.</w:t>
      </w:r>
    </w:p>
    <w:p>
      <w:pPr>
        <w:spacing w:after="0" w:line="19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provide compensation and benefits programs to help meet the needs of our employees. In addition to salaries, these programs include potential annual discretionary bonuses, stock awards, a 401(k) Plan, healthcare and insurance benefits, paid time off, family leave, and flexible work schedules, among others.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320" w:firstLine="509"/>
        <w:spacing w:after="0" w:line="274" w:lineRule="auto"/>
        <w:rPr>
          <w:sz w:val="20"/>
          <w:szCs w:val="20"/>
          <w:color w:val="auto"/>
        </w:rPr>
      </w:pPr>
      <w:r>
        <w:rPr>
          <w:rFonts w:ascii="Arial" w:cs="Arial" w:eastAsia="Arial" w:hAnsi="Arial"/>
          <w:sz w:val="16"/>
          <w:szCs w:val="16"/>
          <w:color w:val="auto"/>
        </w:rPr>
        <w:t>We were initially formed as a limited liability company in Delaware in November 2014 under the name Spruce Biosciences LLC. In April 2016, Spruce Biosciences LLC converted into a Delaware corporation under the name Spruce Biosciences, Inc. Our principal executive offices are located at</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2001 Junipero Serra Boulevard, Suite 640, Daly City, CA 94014. Our telephone number at that location is (415) 655-4168. Our corporate website address is www.sprucebiosciences.com. Information contained on, or that may be accessed through, our website is not incorporated by reference into this Annual Report and should not be considered a part of this Annual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6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i w:val="1"/>
          <w:iCs w:val="1"/>
          <w:color w:val="auto"/>
        </w:rPr>
        <w:t>An investment in shares of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and those we may make from time to time. You should consider all of the risk factors described when evaluating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year ended December 31, 2021, we reported a net loss of $42.3 million. As of December 31, 2021, we had an accumulated deficit of $103.1 million.</w:t>
      </w:r>
    </w:p>
    <w:p>
      <w:pPr>
        <w:spacing w:after="0" w:line="8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3"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December 31, 2021, we had cash, cash equivalents and investments of $121.4 million. In October 2020, we consummated our IPO and issued 6,900,000 shares of common stock for net proceeds of $93.4 million, after deducting underwriting discounts and commissions and offering expenses. We believe, based on our current operating plan, that our cash, cash equivalents and investments as of December 31, 2021 will be sufficient to fund our operations for at least the next 12 months.</w:t>
      </w:r>
    </w:p>
    <w:p>
      <w:pPr>
        <w:spacing w:after="0" w:line="8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CAH has been delayed, extending the overall duration of the trials. We plan to expand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the home health component, the overall costs of our Phase 2b clinical trials have increased and may continue to increase in the future.</w:t>
      </w:r>
    </w:p>
    <w:p>
      <w:pPr>
        <w:spacing w:after="0" w:line="8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6"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3"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w:t>
      </w:r>
    </w:p>
    <w:p>
      <w:pPr>
        <w:spacing w:after="0" w:line="83"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Assuming positive results, we plan to meet with the FDA and certain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addition, we are investigating tildacerfont for the treatment of classic CAH in children.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Additionally, by leveraging our existing Phase 1 program, which includes safety, tolerability, and pharmacokinetics of tildacerfont, we have initiated a Phase 2 proof-of-concept clinical trial in PCOS.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DHEAS levels at baseline. We anticipate topline results from the Phase 2 proof-of-concept clinical trial by the first half of 2023.</w:t>
      </w:r>
    </w:p>
    <w:p>
      <w:pPr>
        <w:spacing w:after="0" w:line="55"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COVID-19 pandemic continues to evolve and any impacts on these projected milestones are highly uncertain and cannot be predicted with confidence.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0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enrollment, site expansion and activation and patient engagement in our ongoing and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our ongoing and planned clinical trials with favorable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03"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3"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3"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80"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or EU, and at least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8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clinical trials have been, and may in the future be, affected by the COVID-19 pandemic. For example, the COVID-19 pandemic has impacted patient enrollment in our two ongoing Phase 2b clinical trials. In particular, some sites have paused or delayed enrollment to focus on, and direct resources to, COVID-19, while at other sites,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81"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80"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5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3" w:lineRule="exact"/>
        <w:rPr>
          <w:sz w:val="20"/>
          <w:szCs w:val="20"/>
          <w:color w:val="auto"/>
        </w:rPr>
      </w:pPr>
    </w:p>
    <w:p>
      <w:pPr>
        <w:ind w:left="1020" w:right="74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6" w:lineRule="exact"/>
        <w:rPr>
          <w:rFonts w:ascii="Arial" w:cs="Arial" w:eastAsia="Arial" w:hAnsi="Arial"/>
          <w:sz w:val="16"/>
          <w:szCs w:val="16"/>
          <w:color w:val="auto"/>
        </w:rPr>
      </w:pPr>
    </w:p>
    <w:p>
      <w:pPr>
        <w:ind w:left="1020" w:right="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clinical trial protocols and related operationalization of such changes at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sites not timely activating, delaying screening activities, or deviating from clinical trial protocols;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subject engagement in the clinical trials or subjects dropping out of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03" w:lineRule="exact"/>
        <w:rPr>
          <w:rFonts w:ascii="Arial" w:cs="Arial" w:eastAsia="Arial" w:hAnsi="Arial"/>
          <w:sz w:val="18"/>
          <w:szCs w:val="18"/>
          <w:color w:val="auto"/>
        </w:rPr>
      </w:pPr>
    </w:p>
    <w:p>
      <w:pPr>
        <w:ind w:left="1020" w:right="300" w:hanging="503"/>
        <w:spacing w:after="0" w:line="270"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03" w:lineRule="exact"/>
        <w:rPr>
          <w:rFonts w:ascii="Arial" w:cs="Arial" w:eastAsia="Arial" w:hAnsi="Arial"/>
          <w:sz w:val="18"/>
          <w:szCs w:val="18"/>
          <w:color w:val="auto"/>
        </w:rPr>
      </w:pPr>
    </w:p>
    <w:p>
      <w:pPr>
        <w:ind w:left="1020" w:right="260" w:hanging="503"/>
        <w:spacing w:after="0" w:line="32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80"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Moreover, principal investigators for our clinical trials may serve and have served as scientific advisors or consultants to us from time to time and receive compensation in connection with such services. Under certain</w:t>
      </w: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8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0"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04" w:lineRule="exact"/>
        <w:rPr>
          <w:sz w:val="20"/>
          <w:szCs w:val="20"/>
          <w:color w:val="auto"/>
        </w:rPr>
      </w:pPr>
    </w:p>
    <w:p>
      <w:pPr>
        <w:ind w:left="1020" w:right="1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020" w:right="100" w:hanging="503"/>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1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26" w:lineRule="exact"/>
        <w:rPr>
          <w:rFonts w:ascii="Arial" w:cs="Arial" w:eastAsia="Arial" w:hAnsi="Arial"/>
          <w:sz w:val="16"/>
          <w:szCs w:val="16"/>
          <w:color w:val="auto"/>
        </w:rPr>
      </w:pPr>
    </w:p>
    <w:p>
      <w:pPr>
        <w:ind w:left="1020" w:hanging="503"/>
        <w:spacing w:after="0" w:line="24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9" w:lineRule="exact"/>
        <w:rPr>
          <w:rFonts w:ascii="Arial" w:cs="Arial" w:eastAsia="Arial" w:hAnsi="Arial"/>
          <w:sz w:val="18"/>
          <w:szCs w:val="18"/>
          <w:color w:val="auto"/>
        </w:rPr>
      </w:pPr>
    </w:p>
    <w:p>
      <w:pPr>
        <w:ind w:left="1020" w:right="9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4" w:lineRule="exact"/>
        <w:rPr>
          <w:sz w:val="20"/>
          <w:szCs w:val="20"/>
          <w:color w:val="auto"/>
        </w:rPr>
      </w:pPr>
    </w:p>
    <w:p>
      <w:pPr>
        <w:jc w:val="both"/>
        <w:ind w:right="60" w:firstLine="509"/>
        <w:spacing w:after="0" w:line="243"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8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80"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and its variants</w:t>
      </w: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continue to spread, we have experienced and may continue to experience ongoing disruptions that could severely impact our business and clinical trials, including:</w:t>
      </w:r>
    </w:p>
    <w:p>
      <w:pPr>
        <w:spacing w:after="0" w:line="6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42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04"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63" w:lineRule="exact"/>
        <w:rPr>
          <w:sz w:val="20"/>
          <w:szCs w:val="20"/>
          <w:color w:val="auto"/>
        </w:rPr>
      </w:pPr>
    </w:p>
    <w:p>
      <w:pPr>
        <w:ind w:right="60" w:firstLine="515"/>
        <w:spacing w:after="0" w:line="267"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3" w:lineRule="exact"/>
        <w:rPr>
          <w:sz w:val="20"/>
          <w:szCs w:val="20"/>
          <w:color w:val="auto"/>
        </w:rPr>
      </w:pPr>
    </w:p>
    <w:p>
      <w:pPr>
        <w:ind w:right="380" w:firstLine="8"/>
        <w:spacing w:after="0" w:line="239"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81" w:lineRule="exact"/>
        <w:rPr>
          <w:sz w:val="20"/>
          <w:szCs w:val="20"/>
          <w:color w:val="auto"/>
        </w:rPr>
      </w:pPr>
    </w:p>
    <w:p>
      <w:pPr>
        <w:ind w:right="220" w:firstLine="515"/>
        <w:spacing w:after="0" w:line="248"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74" w:lineRule="exact"/>
        <w:rPr>
          <w:sz w:val="20"/>
          <w:szCs w:val="20"/>
          <w:color w:val="auto"/>
        </w:rPr>
      </w:pPr>
    </w:p>
    <w:p>
      <w:pPr>
        <w:ind w:right="100" w:firstLine="515"/>
        <w:spacing w:after="0" w:line="267"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collected, and may have unforeseen effects on the progress and completion of our clinical trials and the findings from such clinical trials.</w:t>
      </w:r>
    </w:p>
    <w:p>
      <w:pPr>
        <w:spacing w:after="0" w:line="104" w:lineRule="exact"/>
        <w:rPr>
          <w:sz w:val="20"/>
          <w:szCs w:val="20"/>
          <w:color w:val="auto"/>
        </w:rPr>
      </w:pPr>
    </w:p>
    <w:p>
      <w:pPr>
        <w:ind w:right="80" w:firstLine="515"/>
        <w:spacing w:after="0" w:line="239"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83" w:lineRule="exact"/>
        <w:rPr>
          <w:sz w:val="20"/>
          <w:szCs w:val="20"/>
          <w:color w:val="auto"/>
        </w:rPr>
      </w:pPr>
    </w:p>
    <w:p>
      <w:pPr>
        <w:ind w:right="80" w:firstLine="515"/>
        <w:spacing w:after="0"/>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1" w:lineRule="exact"/>
        <w:rPr>
          <w:sz w:val="20"/>
          <w:szCs w:val="20"/>
          <w:color w:val="auto"/>
        </w:rPr>
      </w:pPr>
    </w:p>
    <w:p>
      <w:pPr>
        <w:ind w:right="40" w:firstLine="515"/>
        <w:spacing w:after="0" w:line="241"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81" w:lineRule="exact"/>
        <w:rPr>
          <w:sz w:val="20"/>
          <w:szCs w:val="20"/>
          <w:color w:val="auto"/>
        </w:rPr>
      </w:pPr>
    </w:p>
    <w:p>
      <w:pPr>
        <w:jc w:val="both"/>
        <w:ind w:right="60" w:firstLine="515"/>
        <w:spacing w:after="0" w:line="270"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56" w:lineRule="exact"/>
        <w:rPr>
          <w:sz w:val="20"/>
          <w:szCs w:val="20"/>
          <w:color w:val="auto"/>
        </w:rPr>
      </w:pPr>
    </w:p>
    <w:p>
      <w:pPr>
        <w:ind w:right="280" w:firstLine="515"/>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3"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6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8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7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39"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80"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We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80"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8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expect to submit a Marketing Authorization Application, or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83"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80" w:lineRule="exact"/>
        <w:rPr>
          <w:sz w:val="20"/>
          <w:szCs w:val="20"/>
          <w:color w:val="auto"/>
        </w:rPr>
      </w:pPr>
    </w:p>
    <w:p>
      <w:pPr>
        <w:ind w:right="120" w:firstLine="509"/>
        <w:spacing w:after="0" w:line="25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80"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3"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3"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67" w:lineRule="exact"/>
        <w:rPr>
          <w:sz w:val="20"/>
          <w:szCs w:val="20"/>
          <w:color w:val="auto"/>
        </w:rPr>
      </w:pPr>
    </w:p>
    <w:p>
      <w:pPr>
        <w:ind w:right="240" w:firstLine="509"/>
        <w:spacing w:after="0" w:line="25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9"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0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04"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6"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04"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39"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5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1"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6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significantly impact the ability of the FDA or other regulatory authorities to timely review and process our regulatory submissions, which could have a material adverse effect on our business.</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3"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6"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03" w:lineRule="exact"/>
        <w:rPr>
          <w:rFonts w:ascii="Arial" w:cs="Arial" w:eastAsia="Arial" w:hAnsi="Arial"/>
          <w:sz w:val="18"/>
          <w:szCs w:val="18"/>
          <w:color w:val="auto"/>
        </w:rPr>
      </w:pPr>
    </w:p>
    <w:p>
      <w:pPr>
        <w:ind w:left="1020" w:right="8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3"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80"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6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67"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8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policies and third-party reimbursement rates may change at any time. Therefore, even if favorable coverage and reimbursement status is attained, less favorable coverage policies and reimbursement rates may be implemented in the future.</w:t>
      </w:r>
    </w:p>
    <w:p>
      <w:pPr>
        <w:spacing w:after="0" w:line="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81"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7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72" w:lineRule="exact"/>
        <w:rPr>
          <w:sz w:val="20"/>
          <w:szCs w:val="20"/>
          <w:color w:val="auto"/>
        </w:rPr>
      </w:pPr>
    </w:p>
    <w:p>
      <w:pPr>
        <w:ind w:right="180" w:firstLine="515"/>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due to COVID-19 relief legislation, unless additional Congressional action is taken. Under current legislation, the actual reduction in Medicare payments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will vary from 1% in 2022 to up to 3% in the final fiscal year of this sequester.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Congress is considering additional health reform measures.</w:t>
      </w:r>
    </w:p>
    <w:p>
      <w:pPr>
        <w:spacing w:after="0" w:line="80" w:lineRule="exact"/>
        <w:rPr>
          <w:sz w:val="20"/>
          <w:szCs w:val="20"/>
          <w:color w:val="auto"/>
        </w:rPr>
      </w:pPr>
    </w:p>
    <w:p>
      <w:pPr>
        <w:ind w:right="80" w:firstLine="515"/>
        <w:spacing w:after="0" w:line="262"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4" w:lineRule="exact"/>
        <w:rPr>
          <w:sz w:val="20"/>
          <w:szCs w:val="20"/>
          <w:color w:val="auto"/>
        </w:rPr>
      </w:pPr>
    </w:p>
    <w:p>
      <w:pPr>
        <w:ind w:firstLine="515"/>
        <w:spacing w:after="0" w:line="268" w:lineRule="auto"/>
        <w:rPr>
          <w:sz w:val="20"/>
          <w:szCs w:val="20"/>
          <w:color w:val="auto"/>
        </w:rPr>
      </w:pPr>
      <w:r>
        <w:rPr>
          <w:rFonts w:ascii="Arial" w:cs="Arial" w:eastAsia="Arial" w:hAnsi="Arial"/>
          <w:sz w:val="16"/>
          <w:szCs w:val="16"/>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rescinds the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61" w:lineRule="exact"/>
        <w:rPr>
          <w:sz w:val="20"/>
          <w:szCs w:val="20"/>
          <w:color w:val="auto"/>
        </w:rPr>
      </w:pPr>
    </w:p>
    <w:p>
      <w:pPr>
        <w:jc w:val="both"/>
        <w:ind w:right="220" w:firstLine="515"/>
        <w:spacing w:after="0" w:line="271"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ind w:right="160"/>
        <w:spacing w:after="0" w:line="237"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83" w:lineRule="exact"/>
        <w:rPr>
          <w:sz w:val="20"/>
          <w:szCs w:val="20"/>
          <w:color w:val="auto"/>
        </w:rPr>
      </w:pPr>
    </w:p>
    <w:p>
      <w:pPr>
        <w:ind w:right="240" w:firstLine="515"/>
        <w:spacing w:after="0" w:line="251"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04"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04"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w:t>
      </w: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identify any candidates. If we are unable to develop or commercialize any other product candidates, our business and prospects will suffer.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7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5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Although classic CAH is part of the newborn screening program in most developed countries, there are no known novel therapies that have been approved in approximately 50 years. We are aware of other companies actively developing treatments for patients with classic CAH. Neurocrine Biosciences, Inc., or Neurocrine, is developing a CRF1 receptor antagonist and has completed a two-week Phase 2 clinical trial in adults with classic CAH. Neurocrine initiated a Phase 2 clinical trial in a pediatric classic CAH population and registrational trials for adult and pediatric patients with classic CAH. BridgeBio Pharma, Inc. is evaluating an AAV5 gene therapy product candidate to treat classic CAH in a Phase 1/2 proof of concept clinical trial. In addition, Crinetics Pharmaceuticals, Inc. initiated a Phase 1 clinical trial to evaluate the ability of an oral ACTH antagonist to suppress ACTH-stimulated secretion in healthy volunteers and reported preliminary findings from the single ascending dose portion of the study.</w:t>
      </w:r>
    </w:p>
    <w:p>
      <w:pPr>
        <w:spacing w:after="0" w:line="72"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announced a failed Phase 3 clinical trial in 2018. Diurnal submitted a MAA to the EMA in December of 2019. In March 2021, the EMA announced a positive opinion from the Committee for Medicinal Products for Human Use, or CHMP, on granting marketing approval for its exogenous cortisol treatment with a modified release for the treatment of adults and adolescents aged 12 and over with CAH. Diurnal announced that it has launched 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EU. Diurnal also announced that the FDA agreed to a special protocol assessment for a Phase 3 trial of its exogenous cortisol treatment with a modified release for the treatments of patients aged 16 and over with CAH.</w:t>
      </w:r>
    </w:p>
    <w:p>
      <w:pPr>
        <w:spacing w:after="0" w:line="6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spacing w:after="0" w:line="61"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6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04" w:lineRule="exact"/>
        <w:rPr>
          <w:sz w:val="20"/>
          <w:szCs w:val="20"/>
          <w:color w:val="auto"/>
        </w:rPr>
      </w:pPr>
    </w:p>
    <w:p>
      <w:pPr>
        <w:ind w:right="380" w:firstLine="509"/>
        <w:spacing w:after="0" w:line="294" w:lineRule="auto"/>
        <w:rPr>
          <w:sz w:val="20"/>
          <w:szCs w:val="20"/>
          <w:color w:val="auto"/>
        </w:rPr>
      </w:pPr>
      <w:r>
        <w:rPr>
          <w:rFonts w:ascii="Arial" w:cs="Arial" w:eastAsia="Arial" w:hAnsi="Arial"/>
          <w:sz w:val="16"/>
          <w:szCs w:val="16"/>
          <w:color w:val="auto"/>
        </w:rPr>
        <w:t>As of December 31, 2021, we had 15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39"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We also initiated a Phase 2 open-label clinical trial in pediatric patients between six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4"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In September 2019, we entered into a Loan and Security Agreement, or the Loan Agreement, providing for a term loan, or the Term Loan, with Silicon Valley Bank.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In March 2021, we entered into the First Amendment with Silicon Valley Bank, or the First Amendment. The First Amendment increased the aggregate principal amount of the Term Loan commitment by Silicon Valley Bank to up to $30.0 million. As of December 31, 2021, we had $5.0 million outstanding under the Loan Agreement and $10.0 million of principal commitment available for withdrawal through December 31, 2022, subject to the satisfaction of certain clinical development and financial conditions.</w:t>
      </w:r>
    </w:p>
    <w:p>
      <w:pPr>
        <w:spacing w:after="0" w:line="72"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6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5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78"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7 to our financial statements, each included elsewhere in this Annual Report on Form 10-K.</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3" w:lineRule="exact"/>
        <w:rPr>
          <w:sz w:val="20"/>
          <w:szCs w:val="20"/>
          <w:color w:val="auto"/>
        </w:rPr>
      </w:pPr>
    </w:p>
    <w:p>
      <w:pPr>
        <w:ind w:right="520" w:firstLine="509"/>
        <w:spacing w:after="0" w:line="244" w:lineRule="auto"/>
        <w:rPr>
          <w:sz w:val="20"/>
          <w:szCs w:val="20"/>
          <w:color w:val="auto"/>
        </w:rPr>
      </w:pPr>
      <w:r>
        <w:rPr>
          <w:rFonts w:ascii="Arial" w:cs="Arial" w:eastAsia="Arial" w:hAnsi="Arial"/>
          <w:sz w:val="18"/>
          <w:szCs w:val="18"/>
          <w:color w:val="auto"/>
        </w:rPr>
        <w:t>We may seek additional capital through a combination of equity offerings, debt financings, strategic partnerships and alliances, and licensing arrangements. To the extent that we raise additional capital through the sale</w:t>
      </w: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8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3"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72" w:lineRule="exact"/>
        <w:rPr>
          <w:sz w:val="20"/>
          <w:szCs w:val="20"/>
          <w:color w:val="auto"/>
        </w:rPr>
      </w:pPr>
    </w:p>
    <w:p>
      <w:pPr>
        <w:ind w:right="380"/>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2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6" w:lineRule="exact"/>
        <w:rPr>
          <w:sz w:val="20"/>
          <w:szCs w:val="20"/>
          <w:color w:val="auto"/>
        </w:rPr>
      </w:pPr>
    </w:p>
    <w:p>
      <w:pPr>
        <w:ind w:left="1020" w:right="100" w:hanging="503"/>
        <w:spacing w:after="0" w:line="255"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w:t>
      </w: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81" w:lineRule="exact"/>
        <w:rPr>
          <w:sz w:val="20"/>
          <w:szCs w:val="20"/>
          <w:color w:val="auto"/>
        </w:rPr>
      </w:pPr>
    </w:p>
    <w:p>
      <w:pPr>
        <w:ind w:left="1020" w:right="100" w:hanging="503"/>
        <w:spacing w:after="0" w:line="276"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3" w:lineRule="exact"/>
        <w:rPr>
          <w:rFonts w:ascii="Arial" w:cs="Arial" w:eastAsia="Arial" w:hAnsi="Arial"/>
          <w:sz w:val="16"/>
          <w:szCs w:val="16"/>
          <w:color w:val="auto"/>
        </w:rPr>
      </w:pPr>
    </w:p>
    <w:p>
      <w:pPr>
        <w:ind w:left="1020" w:right="20" w:hanging="503"/>
        <w:spacing w:after="0" w:line="27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5" w:lineRule="exact"/>
        <w:rPr>
          <w:rFonts w:ascii="Arial" w:cs="Arial" w:eastAsia="Arial" w:hAnsi="Arial"/>
          <w:sz w:val="16"/>
          <w:szCs w:val="16"/>
          <w:color w:val="auto"/>
        </w:rPr>
      </w:pPr>
    </w:p>
    <w:p>
      <w:pPr>
        <w:ind w:left="1020" w:right="40" w:hanging="503"/>
        <w:spacing w:after="0" w:line="24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9" w:lineRule="exact"/>
        <w:rPr>
          <w:rFonts w:ascii="Arial" w:cs="Arial" w:eastAsia="Arial" w:hAnsi="Arial"/>
          <w:sz w:val="18"/>
          <w:szCs w:val="18"/>
          <w:color w:val="auto"/>
        </w:rPr>
      </w:pPr>
    </w:p>
    <w:p>
      <w:pPr>
        <w:ind w:left="1020" w:right="140" w:hanging="503"/>
        <w:spacing w:after="0" w:line="279"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51"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6"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38"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may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 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tildacerfont could be delayed.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39"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5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3"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73" w:lineRule="exact"/>
        <w:rPr>
          <w:sz w:val="20"/>
          <w:szCs w:val="20"/>
          <w:color w:val="auto"/>
        </w:rPr>
      </w:pPr>
    </w:p>
    <w:p>
      <w:pPr>
        <w:ind w:right="220" w:firstLine="509"/>
        <w:spacing w:after="0" w:line="250" w:lineRule="auto"/>
        <w:rPr>
          <w:sz w:val="20"/>
          <w:szCs w:val="20"/>
          <w:color w:val="auto"/>
        </w:rPr>
      </w:pPr>
      <w:r>
        <w:rPr>
          <w:rFonts w:ascii="Arial" w:cs="Arial" w:eastAsia="Arial" w:hAnsi="Arial"/>
          <w:sz w:val="17"/>
          <w:szCs w:val="17"/>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74" w:lineRule="exact"/>
        <w:rPr>
          <w:sz w:val="20"/>
          <w:szCs w:val="20"/>
          <w:color w:val="auto"/>
        </w:rPr>
      </w:pPr>
    </w:p>
    <w:p>
      <w:pPr>
        <w:ind w:firstLine="515"/>
        <w:spacing w:after="0" w:line="264" w:lineRule="auto"/>
        <w:rPr>
          <w:sz w:val="20"/>
          <w:szCs w:val="20"/>
          <w:color w:val="auto"/>
        </w:rPr>
      </w:pPr>
      <w:r>
        <w:rPr>
          <w:rFonts w:ascii="Arial" w:cs="Arial" w:eastAsia="Arial" w:hAnsi="Arial"/>
          <w:sz w:val="16"/>
          <w:szCs w:val="16"/>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similarly confirmed that the EU-U.S. Privacy Shield could not be used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delivering our services and operating our business. The type of challenges we face in Europe will likely also arise in other jurisdictions that adopt laws similar in construction to the GDPR or regulatory frameworks of equivalent complexity.</w:t>
      </w:r>
    </w:p>
    <w:p>
      <w:pPr>
        <w:spacing w:after="0" w:line="63" w:lineRule="exact"/>
        <w:rPr>
          <w:sz w:val="20"/>
          <w:szCs w:val="20"/>
          <w:color w:val="auto"/>
        </w:rPr>
      </w:pPr>
    </w:p>
    <w:p>
      <w:pPr>
        <w:ind w:right="20" w:firstLine="515"/>
        <w:spacing w:after="0" w:line="259" w:lineRule="auto"/>
        <w:rPr>
          <w:sz w:val="20"/>
          <w:szCs w:val="20"/>
          <w:color w:val="auto"/>
        </w:rPr>
      </w:pPr>
      <w:r>
        <w:rPr>
          <w:rFonts w:ascii="Arial" w:cs="Arial" w:eastAsia="Arial" w:hAnsi="Arial"/>
          <w:sz w:val="17"/>
          <w:szCs w:val="17"/>
          <w:color w:val="auto"/>
        </w:rPr>
        <w:t>Following the United Kingdom’s withdrawal from the EU on January 31, 2020 and end of the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(see below) and other potentially divergent enforcement actions for certain violations.</w:t>
      </w:r>
    </w:p>
    <w:p>
      <w:pPr>
        <w:spacing w:after="0" w:line="66" w:lineRule="exact"/>
        <w:rPr>
          <w:sz w:val="20"/>
          <w:szCs w:val="20"/>
          <w:color w:val="auto"/>
        </w:rPr>
      </w:pPr>
    </w:p>
    <w:p>
      <w:pPr>
        <w:ind w:right="200" w:firstLine="515"/>
        <w:spacing w:after="0" w:line="254" w:lineRule="auto"/>
        <w:rPr>
          <w:sz w:val="20"/>
          <w:szCs w:val="20"/>
          <w:color w:val="auto"/>
        </w:rPr>
      </w:pPr>
      <w:r>
        <w:rPr>
          <w:rFonts w:ascii="Arial" w:cs="Arial" w:eastAsia="Arial" w:hAnsi="Arial"/>
          <w:sz w:val="17"/>
          <w:szCs w:val="17"/>
          <w:color w:val="auto"/>
        </w:rPr>
        <w:t>However, on June 28, 2021, the European Commission issued an adequacy decision under the GDPR which allows transfers (other than those carried out for the purposes of U.K. immigration control) of personal data from the EEA to the U.K. to continue without restriction for a period of four years ending June 27, 2025. After that period, the adequacy decision may be renewed only if the U.K. continues to ensure an adequate level of data protection. During these four years, the European Commission will continue to monitor the legal situation in the 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7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particular, while the U.K. data protection regime currently permits data transfers from the U.K. to the EEA and other third countries covered by a European Commission adequacy decision, this is subject to change in the future, and any such changes could have implications for our transfers of personal data from the U.K. Furthermore, the U.K. government has now prepared certain U.K.-specific international data transfer tools, including an International Data Transfer Agreement, which will take the place of or be needed to supplement the European Union's Standard Contractual Clauses. The adoption of these separate tools will necessitate the implementation of one of these U.K.-specific tools alongside EU versions of Standard Contractual Clauses, which will require significant resources and result in significant cost to implement and manage.</w:t>
      </w:r>
    </w:p>
    <w:p>
      <w:pPr>
        <w:spacing w:after="0" w:line="6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£17.5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75"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with data protection laws, or breached our contractual obligations, even if we are not found liable, could be expensive and time-consuming to defend and could result in adverse publicity that could harm our business.</w:t>
      </w:r>
    </w:p>
    <w:p>
      <w:pPr>
        <w:spacing w:after="0" w:line="6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For example, Great Britain is no longer covered by the centralized procedures for obtaining EU-wide marketing authorization from the EMA and a separate process for authorization of drug products, including tildacerfont and any future product candidates, currently applies in Great Britain. Any delay in obtaining, or an inability to obtain, any marketing approvals, as a result of Brexit or otherwise, would restrict our ability to generate revenue and achieve and sustain profitability.</w:t>
      </w:r>
    </w:p>
    <w:p>
      <w:pPr>
        <w:spacing w:after="0" w:line="6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Following Brexit, there is no pre-marketing authorization orphan designation in Great Britain, instead an application for orphan designation is made at the same time as an application for marketing authorization. Orphan designation in the Great Britain following Brexit is based on the prevalence of the condition in Great Britain as opposed to the previous position where prevalence in the EU was the determinant. It is therefore possible that conditions that were previously designated as orphan conditions in the United Kingdom will no longer be and that conditions that are not designated as orphan conditions in the European Union will be designated as such in the United Kingdom, or Great Britain.</w:t>
      </w:r>
    </w:p>
    <w:p>
      <w:pPr>
        <w:spacing w:after="0" w:line="66"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and shipments between the UK and the EU are more likely to be delayed compared to the position prior to Brexit. Further, should the UK diverge from the EU from a regulatory perspective in relation to medicinal products, tariffs could be put in place in the future. If any of these outcomes occur, we may be forced to restrict or delay efforts to seek regulatory approval in the UK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6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5540" w:right="5200" w:hanging="5023"/>
        <w:spacing w:after="0" w:line="324" w:lineRule="auto"/>
        <w:tabs>
          <w:tab w:leader="none" w:pos="10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decreased demand for tildacerfont and any future product candidates;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and results of operations.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which could result from an event like the COVID-19 pandemic or the recent global sanctions imposed by countries against Russia following Russia’s military intervention in Ukraine, could result in a variety of risks to our business, including disruption to enrollment within our ongoing clinical trials,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2021, after reducing net operating losses, or NOLs, and tax credits for amounts not expected to be utilized, we had federal NOL carryforwards of approximately $98.6 million and state NOL carryforwards of approximately $98.4 million. The federal NOL carryforwards arising in taxable years beginning prior to 2018 will begin to expire in 2036 and state NOL carryforwards will begin to expire in 2036, unless previously utilized. We also have federal and state tax credit carryforwards totaling $5.6 million and $1.0 million, respectively. The federal tax credit carryforwards will begin to expire in 2036, unless previously utilized. The state tax credits will not expire.</w:t>
      </w:r>
    </w:p>
    <w:p>
      <w:pPr>
        <w:spacing w:after="0" w:line="81"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2021, we recorded a full valuation allowance on our net deferred tax assets.</w:t>
      </w:r>
    </w:p>
    <w:p>
      <w:pPr>
        <w:spacing w:after="0" w:line="8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3"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increase the federal income tax rate applicable to corporate income and make other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3"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3" w:lineRule="exact"/>
        <w:rPr>
          <w:sz w:val="20"/>
          <w:szCs w:val="20"/>
          <w:color w:val="auto"/>
        </w:rPr>
      </w:pPr>
    </w:p>
    <w:p>
      <w:pPr>
        <w:ind w:right="340" w:firstLine="509"/>
        <w:spacing w:after="0" w:line="284"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47"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60"/>
        <w:spacing w:after="0" w:line="322"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8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do not currently have any long-term agreement with a manufacturer to produce raw materials,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8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59"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w:t>
      </w: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programs and, depending upon the period of delay, require us to commence new clinical trials at additional expense or terminate clinical trials completely.</w:t>
      </w:r>
    </w:p>
    <w:p>
      <w:pPr>
        <w:spacing w:after="0" w:line="1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4" w:lineRule="exact"/>
        <w:rPr>
          <w:sz w:val="20"/>
          <w:szCs w:val="20"/>
          <w:color w:val="auto"/>
        </w:rPr>
      </w:pPr>
    </w:p>
    <w:p>
      <w:pPr>
        <w:ind w:firstLine="515"/>
        <w:spacing w:after="0" w:line="271"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6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4" w:lineRule="exact"/>
        <w:rPr>
          <w:sz w:val="20"/>
          <w:szCs w:val="20"/>
          <w:color w:val="auto"/>
        </w:rPr>
      </w:pPr>
    </w:p>
    <w:p>
      <w:pPr>
        <w:ind w:left="1020" w:right="40" w:hanging="503"/>
        <w:spacing w:after="0" w:line="270"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03" w:lineRule="exact"/>
        <w:rPr>
          <w:rFonts w:ascii="Arial" w:cs="Arial" w:eastAsia="Arial" w:hAnsi="Arial"/>
          <w:sz w:val="18"/>
          <w:szCs w:val="18"/>
          <w:color w:val="auto"/>
        </w:rPr>
      </w:pPr>
    </w:p>
    <w:p>
      <w:pPr>
        <w:ind w:left="1020" w:right="280" w:hanging="503"/>
        <w:spacing w:after="0" w:line="24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18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3"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39"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3"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6" w:lineRule="exact"/>
        <w:rPr>
          <w:rFonts w:ascii="Arial" w:cs="Arial" w:eastAsia="Arial" w:hAnsi="Arial"/>
          <w:sz w:val="16"/>
          <w:szCs w:val="16"/>
          <w:color w:val="auto"/>
        </w:rPr>
      </w:pPr>
    </w:p>
    <w:p>
      <w:pPr>
        <w:ind w:left="1020" w:right="12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3" w:lineRule="exact"/>
        <w:rPr>
          <w:rFonts w:ascii="Arial" w:cs="Arial" w:eastAsia="Arial" w:hAnsi="Arial"/>
          <w:sz w:val="18"/>
          <w:szCs w:val="18"/>
          <w:color w:val="auto"/>
        </w:rPr>
      </w:pPr>
    </w:p>
    <w:p>
      <w:pPr>
        <w:ind w:left="1020" w:right="260" w:hanging="503"/>
        <w:spacing w:after="0" w:line="291"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9"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including delays as a result of the COVID-19 pandemic impacting our or our licensor's operations.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75"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7" w:lineRule="exact"/>
        <w:rPr>
          <w:sz w:val="20"/>
          <w:szCs w:val="20"/>
          <w:color w:val="auto"/>
        </w:rPr>
      </w:pPr>
    </w:p>
    <w:p>
      <w:pPr>
        <w:ind w:left="1020" w:right="4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right="740" w:hanging="503"/>
        <w:spacing w:after="0" w:line="248"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7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8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6"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04"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60"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4" w:lineRule="exact"/>
        <w:rPr>
          <w:sz w:val="20"/>
          <w:szCs w:val="20"/>
          <w:color w:val="auto"/>
        </w:rPr>
      </w:pPr>
    </w:p>
    <w:p>
      <w:pPr>
        <w:jc w:val="both"/>
        <w:ind w:right="240" w:firstLine="509"/>
        <w:spacing w:after="0" w:line="255"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80"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4"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04"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6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derivation proceedings that allow third parties to challenge the validity of issued patents. This applies to all of our U.S. patents, even</w:t>
      </w:r>
      <w:r>
        <w:rPr>
          <w:rFonts w:ascii="Arial" w:cs="Arial" w:eastAsia="Arial" w:hAnsi="Arial"/>
          <w:sz w:val="17"/>
          <w:szCs w:val="17"/>
          <w:i w:val="1"/>
          <w:iCs w:val="1"/>
          <w:color w:val="auto"/>
        </w:rPr>
        <w:t xml:space="preserve"> </w:t>
      </w:r>
      <w:r>
        <w:rPr>
          <w:rFonts w:ascii="Arial" w:cs="Arial" w:eastAsia="Arial" w:hAnsi="Arial"/>
          <w:sz w:val="17"/>
          <w:szCs w:val="17"/>
          <w:color w:val="auto"/>
        </w:rPr>
        <w:t>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7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8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9"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04" w:lineRule="exact"/>
        <w:rPr>
          <w:sz w:val="20"/>
          <w:szCs w:val="20"/>
          <w:color w:val="auto"/>
        </w:rPr>
      </w:pPr>
    </w:p>
    <w:p>
      <w:pPr>
        <w:ind w:right="480" w:firstLine="509"/>
        <w:spacing w:after="0" w:line="244" w:lineRule="auto"/>
        <w:rPr>
          <w:sz w:val="20"/>
          <w:szCs w:val="20"/>
          <w:color w:val="auto"/>
        </w:rPr>
      </w:pPr>
      <w:r>
        <w:rPr>
          <w:rFonts w:ascii="Arial" w:cs="Arial" w:eastAsia="Arial" w:hAnsi="Arial"/>
          <w:sz w:val="18"/>
          <w:szCs w:val="18"/>
          <w:color w:val="auto"/>
        </w:rPr>
        <w:t>We may be subject to claims that former employees (including former employees of our licensors), collaborators or other third parties have an interest in our patents rights, trade secrets, or other intellectual property</w:t>
      </w: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72"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7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80"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w:t>
      </w: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jc w:val="both"/>
        <w:ind w:right="200"/>
        <w:spacing w:after="0" w:line="243" w:lineRule="auto"/>
        <w:rPr>
          <w:sz w:val="20"/>
          <w:szCs w:val="20"/>
          <w:color w:val="auto"/>
        </w:rPr>
      </w:pPr>
      <w:r>
        <w:rPr>
          <w:rFonts w:ascii="Arial" w:cs="Arial" w:eastAsia="Arial" w:hAnsi="Arial"/>
          <w:sz w:val="18"/>
          <w:szCs w:val="18"/>
          <w:color w:val="auto"/>
        </w:rPr>
        <w:t>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6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6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3"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04"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left="1020" w:right="4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1"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1020" w:right="26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1020" w:right="46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04" w:lineRule="exact"/>
        <w:rPr>
          <w:sz w:val="20"/>
          <w:szCs w:val="20"/>
          <w:color w:val="auto"/>
        </w:rPr>
      </w:pPr>
    </w:p>
    <w:p>
      <w:pPr>
        <w:ind w:right="80" w:firstLine="509"/>
        <w:spacing w:after="0" w:line="267"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3"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4" w:lineRule="exact"/>
        <w:rPr>
          <w:sz w:val="20"/>
          <w:szCs w:val="20"/>
          <w:color w:val="auto"/>
        </w:rPr>
      </w:pPr>
    </w:p>
    <w:p>
      <w:pPr>
        <w:jc w:val="both"/>
        <w:ind w:right="180" w:firstLine="509"/>
        <w:spacing w:after="0" w:line="294"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39"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8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4"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hearing of the USPTO's decision to deny the post-grant review and also filed a request that the Procedural Opinion Panel review the case. Similar mechanisms for challenging the validity and enforceability of a patent exist in foreign patent offices and courts and may result in the revocation, cancellation, or amendment of any foreign patents we or our licensors hold now or in the future. In February 2022, Neurocrine filed a petition requesting the USPTO to institute an administrative proceeding involving the post-grant review of the patentability of United States Patent 11,007,201.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266"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2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5"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3"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8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5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3"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03" w:lineRule="exact"/>
        <w:rPr>
          <w:rFonts w:ascii="Arial" w:cs="Arial" w:eastAsia="Arial" w:hAnsi="Arial"/>
          <w:sz w:val="18"/>
          <w:szCs w:val="18"/>
          <w:color w:val="auto"/>
        </w:rPr>
      </w:pPr>
    </w:p>
    <w:p>
      <w:pPr>
        <w:jc w:val="both"/>
        <w:ind w:left="1020" w:right="400" w:hanging="503"/>
        <w:spacing w:after="0" w:line="27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w:t>
      </w:r>
    </w:p>
    <w:p>
      <w:pPr>
        <w:spacing w:after="0" w:line="1" w:lineRule="exact"/>
        <w:rPr>
          <w:sz w:val="20"/>
          <w:szCs w:val="20"/>
          <w:color w:val="auto"/>
        </w:rPr>
      </w:pPr>
    </w:p>
    <w:p>
      <w:pPr>
        <w:jc w:val="center"/>
        <w:ind w:left="760" w:right="580"/>
        <w:spacing w:after="0" w:line="243" w:lineRule="auto"/>
        <w:rPr>
          <w:sz w:val="20"/>
          <w:szCs w:val="20"/>
          <w:color w:val="auto"/>
        </w:rPr>
      </w:pPr>
      <w:r>
        <w:rPr>
          <w:rFonts w:ascii="Arial" w:cs="Arial" w:eastAsia="Arial" w:hAnsi="Arial"/>
          <w:sz w:val="18"/>
          <w:szCs w:val="18"/>
          <w:color w:val="auto"/>
        </w:rPr>
        <w:t>availability of funding, or other external factors, such as a business combination that diverts resources or creates competing priorities;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2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03" w:lineRule="exact"/>
        <w:rPr>
          <w:rFonts w:ascii="Arial" w:cs="Arial" w:eastAsia="Arial" w:hAnsi="Arial"/>
          <w:sz w:val="18"/>
          <w:szCs w:val="18"/>
          <w:color w:val="auto"/>
        </w:rPr>
      </w:pPr>
    </w:p>
    <w:p>
      <w:pPr>
        <w:ind w:left="1020" w:right="68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020" w:right="160" w:hanging="503"/>
        <w:spacing w:after="0" w:line="324"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6" w:lineRule="exact"/>
        <w:rPr>
          <w:rFonts w:ascii="Arial" w:cs="Arial" w:eastAsia="Arial" w:hAnsi="Arial"/>
          <w:sz w:val="16"/>
          <w:szCs w:val="16"/>
          <w:color w:val="auto"/>
        </w:rPr>
      </w:pPr>
    </w:p>
    <w:p>
      <w:pPr>
        <w:ind w:left="1020" w:right="9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March 11, 2022 has ranged from a low of $1.88 to a high of $32.42. In addition to the factors discussed in this “Risk Factors” section and elsewhere in this Annual Report on Form 10-K, these factors include:</w:t>
      </w:r>
    </w:p>
    <w:p>
      <w:pPr>
        <w:spacing w:after="0" w:line="80" w:lineRule="exact"/>
        <w:rPr>
          <w:sz w:val="20"/>
          <w:szCs w:val="20"/>
          <w:color w:val="auto"/>
        </w:rPr>
      </w:pPr>
    </w:p>
    <w:p>
      <w:pPr>
        <w:jc w:val="both"/>
        <w:ind w:left="1020" w:right="58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40" w:hanging="503"/>
        <w:spacing w:after="0" w:line="248"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adverse results or delays in clinical trials as a result of the COVID-19 pandemic, patient engagement, protocol amendments or otherwise;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scientific or executive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PCOS, and other rare endocrine disorders that we may target;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political, health, and economic conditions, including the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509"/>
        <w:spacing w:after="0" w:line="23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Annual Report on Form 10-K, not being required to have our internal control over financial reporting audited by our independent registered public accounting firm under Section 404 of the Sarbanes-Oxley Act or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73"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57"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67" w:lineRule="exact"/>
        <w:rPr>
          <w:sz w:val="20"/>
          <w:szCs w:val="20"/>
          <w:color w:val="auto"/>
        </w:rPr>
      </w:pPr>
    </w:p>
    <w:p>
      <w:pPr>
        <w:ind w:right="240" w:firstLine="509"/>
        <w:spacing w:after="0" w:line="231"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Annual Report on the Form 10-K,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8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1"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2021, there were 23,491,881 shares of our common stock outstanding.</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8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Rule 144 under the Securities Act. Any sales of securities by these stockholders could have a material adverse effect on the trading price of our common stock.</w:t>
      </w:r>
    </w:p>
    <w:p>
      <w:pPr>
        <w:spacing w:after="0" w:line="63"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7"/>
          <w:szCs w:val="17"/>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or the Shelf Registration. For example, in February 2022, we entered into an Open Market Sales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with Jefferies, LLC, or Jefferies, pursuant to which we may elect to issue and sell, from time to time, shares of common stock having an aggregate offering price of up to $21.0 million under the Shelf Registration through Jefferies acting as the sales agent and/or principal.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79"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or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61"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20" w:right="2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6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6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inapplicable or unenforceable in an action, we may incur further significant additional costs associated with resolving such action in other jurisdictions, all of which could seriously harm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04"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corporate headquarters are located at 2001 Junipero Serra Boulevard, Suite 640, Daly City, California 94014, where we occupy approximately 8,000 square feet of office space pursuant to a lease entered into in February 2020, which began on September 1, 2020 and is set to expire on November 30, 2025.</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facility meets our current needs.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common stock is traded on the Nasdaq Global Select Market under the symbol “SPRB” since October 9, 2020. Prior to that date,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08"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As of March 11, 2022, we had 23,492,873 shares of common stock outstanding held by 21 holders of record,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Item 12 of Part III of this Annual Report for information about our equity compensation plans which is incorporated by reference herein.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In addition, pursuant to the Loan Agreement with Silicon Valley Bank, as amended, we are prohibited from paying cash dividends without the prior written consent of Silicon Valley Bank and future debt instruments may materially restrict our ability to pay dividends on our common stock.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commenced our IPO pursuant to the registration statement on Form S-1, as amended (File No. 333-48924), that was declared effective on October 8, 2020 and a registration statement on Form S-1 MEF (File No. 333-249397), which was effective on filing on October 8, 2020, and registered an aggregate of 6,900,000 shares of our common stock. We sold 6,900,000 shares of our common stock at a public offering price of $15.00 per share for aggregate gross proceeds of $103.5 million. On October 14, 2020, we completed our IPO. Cowen and Company, LLC, SVB Leerink LLC, Credit Suisse Securities (USA) LLC and RBC Capital Markets, LLC acted as joint book-running managers for the IPO.</w:t>
      </w:r>
    </w:p>
    <w:p>
      <w:pPr>
        <w:spacing w:after="0" w:line="174"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The underwriting discounts and commissions for our IPO totaled approximately $7.2 million. We incurred additional costs of approximately $2.9 million in offering expenses, which when added to the underwriting discounts and commissions paid by us, amounts to total fees and costs of approximately $10.1 million. Thus, net offering proceeds to us, after deducting underwriting discounts, commissions and offering expenses, were $93.4 million. No</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offering expenses were paid directly or indirectly to any of our directors or officers (or their associates) or persons owning ten percent or more of any class of our equity securities or to any other affiliates.</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424(b)(4) on October 9,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 Unless otherwise indicated, all references in this Annual Report to “Spruce,” the “company,” “we,” “our,” “us” or similar terms refer to Spruce Biosciences, Inc.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over 200 subjects across eight clinical trials to date have been administered tildacerfont with no drug-related SAEs reported.</w:t>
      </w:r>
    </w:p>
    <w:p>
      <w:pPr>
        <w:spacing w:after="0" w:line="18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We have initiated CAHmelia-203, a placebo-controlled, double-blind Phase 2b clinical trial in adult patients with classic CAH with poor disease control and anticipate topline results in the second half of 2023. We have also initiated CAHmelia-204, a second Phase 2b clinical trial in adult patients with classic CAH with good disease control focused on glucocorticoid reduction and anticipate topline results in the second half of 2024.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registration.</w:t>
      </w:r>
    </w:p>
    <w:p>
      <w:pPr>
        <w:spacing w:after="0" w:line="169"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In addition, we are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a Phase 2 open-label clinical trial, which will utilize a sequential three cohort design, to evaluate the safety and pharmacokinetics of tildacerfont in children six to 17 years of age with classic CAH. We anticipate topline safety results from cohort 1 of the Phase 2 open-label clinical trial by the first half of 2023. We have also submitted a PIP to PDCO of the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168"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Beyond classic CAH, we believe tildacerfont has potential utility in polycystic ovary syndrome, or PCOS, and in a range of diseases where the underlying biology supports a need to reduce excess secretion of or hyperresponsiveness to adrenocorticotropic hormone, or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option for females with PCOS. By leveraging our existing Phase 1 program, which includes safety, tolerability, and pharmacokinetics of tildacerfont, we have initiated a Phase 2 proof-of-concept clinical trial. The Phase 2 proof-of-concept clinical trial is a randomized, placebo-controlled, dose escalation trial which will evaluate the safety and efficacy of tildacerfont titrated to 200 mg QD compared to placebo over 12 weeks of treatment in subjects with PCOS and elevated adrenal androgens as measured by dehydroepiandrosterone sulfate, or DHEAS, levels at baseline. We anticipate topline results from the Phase 2 proof-of-concept clinical trial by the first half of 2023.</w:t>
      </w:r>
    </w:p>
    <w:p>
      <w:pPr>
        <w:spacing w:after="0" w:line="18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186"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189" w:lineRule="exact"/>
        <w:rPr>
          <w:sz w:val="20"/>
          <w:szCs w:val="20"/>
          <w:color w:val="auto"/>
        </w:rPr>
      </w:pPr>
    </w:p>
    <w:p>
      <w:pPr>
        <w:jc w:val="both"/>
        <w:ind w:right="400" w:firstLine="509"/>
        <w:spacing w:after="0" w:line="241"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year ended December 31, 2021, we incurred a net loss of $42.3 million and used $35.9 million of cash in operations. As of December 31, 2021, we had an accumulated deficit of $103.1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189"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October 2020, we consummated our initial public offering, or IPO, and issued 6,900,000 shares of common stock for net proceeds of $93.4 million, after deducting underwriting discounts and commissions and offering expenses. Since inception through December 31, 2020, we have raised aggregate gross financing proceeds of $224.0 million, including $103.5 million from our IPO in October 2020, $116.0 million from the sale of our redeemable convertible preferred stock and $4.5 million from the issuance of debt. As of December 31, 2021, we had cash, cash equivalents and investments of $121.4 million. We believe, based on our current operating plan, that our cash, cash equivalents and investments as of December 31, 2021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8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PCOS;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pursue regulatory approvals of tildacerfont in adult patients with classic CAH;</w:t>
      </w:r>
    </w:p>
    <w:p>
      <w:pPr>
        <w:spacing w:after="0" w:line="103" w:lineRule="exact"/>
        <w:rPr>
          <w:rFonts w:ascii="Arial" w:cs="Arial" w:eastAsia="Arial" w:hAnsi="Arial"/>
          <w:sz w:val="18"/>
          <w:szCs w:val="18"/>
          <w:color w:val="auto"/>
        </w:rPr>
      </w:pPr>
    </w:p>
    <w:p>
      <w:pPr>
        <w:ind w:left="1020" w:right="280" w:hanging="503"/>
        <w:spacing w:after="0" w:line="244"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left="1020" w:right="58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16" w:lineRule="exact"/>
        <w:rPr>
          <w:rFonts w:ascii="Arial" w:cs="Arial" w:eastAsia="Arial" w:hAnsi="Arial"/>
          <w:sz w:val="16"/>
          <w:szCs w:val="16"/>
          <w:color w:val="auto"/>
        </w:rPr>
      </w:pPr>
    </w:p>
    <w:p>
      <w:pPr>
        <w:ind w:left="1020" w:right="6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6"/>
          <w:szCs w:val="16"/>
          <w:color w:val="auto"/>
        </w:rPr>
        <w:t>In February 2022, the U.S. Securities and Exchange Commission, or the SEC, declared effective a registration statement on Form S-3, or the Shelf Registration, covering the sale of up to $200.0 million of our securities. Also, in February 2022, we entered into an Open Market Sales Agreement</w:t>
      </w:r>
      <w:r>
        <w:rPr>
          <w:rFonts w:ascii="Arial" w:cs="Arial" w:eastAsia="Arial" w:hAnsi="Arial"/>
          <w:sz w:val="21"/>
          <w:szCs w:val="21"/>
          <w:color w:val="auto"/>
          <w:vertAlign w:val="superscript"/>
        </w:rPr>
        <w:t>SM</w:t>
      </w:r>
      <w:r>
        <w:rPr>
          <w:rFonts w:ascii="Arial" w:cs="Arial" w:eastAsia="Arial" w:hAnsi="Arial"/>
          <w:sz w:val="16"/>
          <w:szCs w:val="16"/>
          <w:color w:val="auto"/>
        </w:rPr>
        <w:t>, or the Sales Agreement, with Jefferies LLC, or Jefferies, pursuant to which we may elect to issue and sell, from time to time, shares of common stock having an aggregate offering price of up to $21.0 million under the Shelf Registration through Jefferies acting as the sales agent and/or principal.</w:t>
      </w:r>
    </w:p>
    <w:p>
      <w:pPr>
        <w:spacing w:after="0" w:line="1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920" w:firstLine="509"/>
        <w:spacing w:after="0" w:line="261"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expenses include:</w:t>
      </w:r>
    </w:p>
    <w:p>
      <w:pPr>
        <w:spacing w:after="0" w:line="10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03" w:lineRule="exact"/>
        <w:rPr>
          <w:rFonts w:ascii="Arial" w:cs="Arial" w:eastAsia="Arial" w:hAnsi="Arial"/>
          <w:sz w:val="18"/>
          <w:szCs w:val="18"/>
          <w:color w:val="auto"/>
        </w:rPr>
      </w:pPr>
    </w:p>
    <w:p>
      <w:pPr>
        <w:ind w:left="1040" w:right="560"/>
        <w:spacing w:after="0" w:line="360" w:lineRule="auto"/>
        <w:rPr>
          <w:rFonts w:ascii="Arial" w:cs="Arial" w:eastAsia="Arial" w:hAnsi="Arial"/>
          <w:sz w:val="18"/>
          <w:szCs w:val="18"/>
          <w:color w:val="auto"/>
        </w:rPr>
      </w:pPr>
      <w:r>
        <w:rPr>
          <w:rFonts w:ascii="Arial" w:cs="Arial" w:eastAsia="Arial" w:hAnsi="Arial"/>
          <w:sz w:val="18"/>
          <w:szCs w:val="18"/>
          <w:color w:val="auto"/>
        </w:rPr>
        <w:t>o clinical development—expenses associated with CROs engaged to manage and conduct clinical trials and other outside services; o preclinical studies—expenses associated with preclinical studies performed by vendors;</w:t>
      </w:r>
    </w:p>
    <w:p>
      <w:pPr>
        <w:ind w:left="1420" w:right="560" w:hanging="374"/>
        <w:spacing w:after="0" w:line="261" w:lineRule="auto"/>
        <w:rPr>
          <w:rFonts w:ascii="Arial" w:cs="Arial" w:eastAsia="Arial" w:hAnsi="Arial"/>
          <w:sz w:val="18"/>
          <w:szCs w:val="18"/>
          <w:color w:val="auto"/>
        </w:rPr>
      </w:pPr>
      <w:r>
        <w:rPr>
          <w:rFonts w:ascii="Arial" w:cs="Arial" w:eastAsia="Arial" w:hAnsi="Arial"/>
          <w:sz w:val="18"/>
          <w:szCs w:val="18"/>
          <w:color w:val="auto"/>
        </w:rPr>
        <w:t>o manufacturing—expenses associated with contract manufacturing; labeling, packaging, distribution of clinical trial supplies, and consulting;</w:t>
      </w:r>
    </w:p>
    <w:p>
      <w:pPr>
        <w:spacing w:after="0" w:line="6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   other research and development—expenses associated with quality and regulatory compliance; and</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171"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To date, these expenses have been incurred to advance tildacerfont. These expenses will primarily consist of expenses for the conduct of clinical trials as well as manufacturing costs for clinical material supply. We expect that</w:t>
      </w: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significant additional spending will be required to progress tildacerfont through clinical development and regulatory approval.</w:t>
      </w:r>
    </w:p>
    <w:p>
      <w:pPr>
        <w:spacing w:after="0" w:line="212"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155"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Interest expense consists of interest incurred and non-cash amortization of debt discount and issuance costs in connection with the Term Loan, provided pursuant to the Loan Agreement, as amended by the First Amendment.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investments.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the Year Ended December 31, 2021 and 2020</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30,698</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23,854</w:t>
            </w:r>
          </w:p>
        </w:tc>
        <w:tc>
          <w:tcPr>
            <w:tcW w:w="1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6,844</w:t>
            </w:r>
          </w:p>
        </w:tc>
        <w:tc>
          <w:tcPr>
            <w:tcW w:w="100" w:type="dxa"/>
            <w:vAlign w:val="bottom"/>
          </w:tcPr>
          <w:p>
            <w:pPr>
              <w:spacing w:after="0"/>
              <w:rPr>
                <w:sz w:val="17"/>
                <w:szCs w:val="17"/>
                <w:color w:val="auto"/>
              </w:rPr>
            </w:pPr>
          </w:p>
        </w:tc>
      </w:tr>
      <w:tr>
        <w:trPr>
          <w:trHeight w:val="203"/>
        </w:trPr>
        <w:tc>
          <w:tcPr>
            <w:tcW w:w="4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11,368</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5,562</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8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42,066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29,416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12,650</w:t>
            </w:r>
          </w:p>
        </w:tc>
        <w:tc>
          <w:tcPr>
            <w:tcW w:w="100" w:type="dxa"/>
            <w:vAlign w:val="bottom"/>
          </w:tcPr>
          <w:p>
            <w:pPr>
              <w:spacing w:after="0"/>
              <w:rPr>
                <w:sz w:val="17"/>
                <w:szCs w:val="17"/>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(42,066</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(29,416</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(12,650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(345 )</w:t>
            </w:r>
          </w:p>
        </w:tc>
        <w:tc>
          <w:tcPr>
            <w:tcW w:w="280" w:type="dxa"/>
            <w:vAlign w:val="bottom"/>
          </w:tcPr>
          <w:p>
            <w:pPr>
              <w:spacing w:after="0"/>
              <w:rPr>
                <w:sz w:val="17"/>
                <w:szCs w:val="17"/>
                <w:color w:val="auto"/>
              </w:rPr>
            </w:pPr>
          </w:p>
        </w:tc>
        <w:tc>
          <w:tcPr>
            <w:tcW w:w="11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(323 )</w:t>
            </w: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4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(81 )</w:t>
            </w:r>
          </w:p>
        </w:tc>
      </w:tr>
      <w:tr>
        <w:trPr>
          <w:trHeight w:val="20"/>
        </w:trPr>
        <w:tc>
          <w:tcPr>
            <w:tcW w:w="48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(42,292 )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(29,539 )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(12,753 )</w:t>
            </w: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-690880</wp:posOffset>
            </wp:positionV>
            <wp:extent cx="774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-690880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-690880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wp:posOffset>
            </wp:positionV>
            <wp:extent cx="7747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6"/>
          <w:szCs w:val="16"/>
          <w:color w:val="auto"/>
        </w:rPr>
        <w:t>Research and development expenses were $30.6 million for the year ended December 31, 2021, compared to $23.9 million for the year ended December 31, 2020. The overall increase in research and development expenses was primarily related to an increase in clinical activities associated with progressing clinical development of tildacerfont and personnel costs. The overall increase in personnel costs was primarily driven by non-cash</w:t>
      </w: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stock-based compensation expense of $0.7 million. The following table sets forth the primary external and internal research and development expenses for the periods presented below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External expenses:</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Clinical development</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17,116</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12,747</w:t>
            </w: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4,369</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4,036</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(96 )</w:t>
            </w: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Preclinical studies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2,270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1,744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research and development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1,379</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Internal expenses: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Personnel</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5,557</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1,181</w:t>
            </w:r>
          </w:p>
        </w:tc>
        <w:tc>
          <w:tcPr>
            <w:tcW w:w="10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Allocated overhead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30,698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23,854</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6,844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431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General and administrative expenses were $11.4 million for the year ended December 31, 2021, compared to $5.6 million for the year ended December 31, 2020. The overall increase in general and administrative expenses was primarily driven by an increase of $3.8 million in personnel-related expenses, an increase of $1.5 million related to directors’ and officers’ liability insurance premiums, and an increase of $0.5 million in professional fees related to operating as a public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was $0.3 million for the year ended December 31, 2021, compared to $0.3 million for the year ended December 31,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Other income, net was $0.1 million for the year ended December 31, 2021, compared to $0.2 million for the year ended December 31, 2020. The decrease was primarily due to lower interest rate earned on lower cash, cash equivalents and investment balances in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December 31, 2021, we had an accumulated deficit of $103.1 million. As of December 31, 2021, we had cash, cash equivalents and investments of $121.4 million. In October 2020, we consummated our IPO and issued 6,900,000 shares of common stock for net proceeds of $93.4 million, after deducting underwriting discounts and commissions and offering expenses. We believe, based on our current operating plan, that our cash, cash equivalents and investments as of December 31, 2021 will be sufficient to fund our operations for at least the next 12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which is currently outstanding, and we drew the second tranche of $2.0 million in December 2019.</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Up to $20.0 million is available under the first tranche of the Term Loan, or the First Tranche, $5.0 million of which was advanced immediately to repay the outstanding obligations under the Term Loan prior to the First Amendment. The remainder of the First Tranche commitments, or $15.0 million, expired on December 31, 2021. Up to $10.0 million is available under the second tranche, or the Second Tranche, subject to the completion of certain clinical and financial milestones which Second Tranche commitment is available through December 31, 2022. Pursuant to the First Amendment, the Term Loan will mature on January 1, 2026. As of December 31, 2021, we have $5.0 million outstanding under the Term Loan.</w:t>
      </w:r>
    </w:p>
    <w:p>
      <w:pPr>
        <w:spacing w:after="0" w:line="19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Loan Agreement, as amended by the Deferral Agreement and the First Amendment, provides for monthly cash interest-only payments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18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amendment interest-only period, over the repayment period, plus (ii) monthly payments of accrued but unpaid interest. The final payment due on the maturity date shall include all outstanding principal and all accrued unpaid interest and an end of term payment, or the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w:t>
      </w:r>
    </w:p>
    <w:p>
      <w:pPr>
        <w:spacing w:after="0" w:line="18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186"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and Sales Agreement</w:t>
      </w:r>
    </w:p>
    <w:p>
      <w:pPr>
        <w:spacing w:after="0" w:line="21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or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or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w:t>
      </w:r>
    </w:p>
    <w:p>
      <w:pPr>
        <w:spacing w:after="0" w:line="18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 A copy of the Sales Agreement is attached as Exhibit 10.22 to this Annual Report on Form 10-K and is incorporated herein by reference. The foregoing description of the material terms of the Sales Agreement is qualified in its entirety by reference to such exhibit.</w:t>
      </w:r>
    </w:p>
    <w:p>
      <w:pPr>
        <w:spacing w:after="0" w:line="18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shares will be sold pursuant to the Shelf Registration, and offerings of the shares will be made only by means of the prospectus supplement. This Annual Report on Form 10-K shall not constitute an offer to sell or solicitation of an offer to buy the shares, nor shall there be any sale of the shares in any state in which such offer, solicitation or sale would be unlawful prior to registration or qualification under the securities law of such state or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15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to advance into later stages of development for the treatment of classic CAH in adult patients, as we conduct clinical trials of tildacerfont in pediatric classic CAH and PCOS,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191" w:lineRule="exact"/>
        <w:rPr>
          <w:sz w:val="20"/>
          <w:szCs w:val="20"/>
          <w:color w:val="auto"/>
        </w:rPr>
      </w:pPr>
    </w:p>
    <w:p>
      <w:pPr>
        <w:jc w:val="both"/>
        <w:ind w:right="240" w:firstLine="509"/>
        <w:spacing w:after="0"/>
        <w:rPr>
          <w:sz w:val="20"/>
          <w:szCs w:val="20"/>
          <w:color w:val="auto"/>
        </w:rPr>
      </w:pPr>
      <w:r>
        <w:rPr>
          <w:rFonts w:ascii="Arial" w:cs="Arial" w:eastAsia="Arial" w:hAnsi="Arial"/>
          <w:sz w:val="18"/>
          <w:szCs w:val="18"/>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associated with manufacturing tildacerfont and establishing clinical and commercial supplies, and sales, marketing, and distribution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03"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1"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72"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the pace and results of our development efforts.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ever be profitable or generate positive cash flow from operating activities.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Net cash provided by financing activities</w:t>
      </w:r>
    </w:p>
    <w:p>
      <w:pPr>
        <w:spacing w:after="0" w:line="7" w:lineRule="exact"/>
        <w:rPr>
          <w:sz w:val="20"/>
          <w:szCs w:val="20"/>
          <w:color w:val="auto"/>
        </w:rPr>
      </w:pPr>
    </w:p>
    <w:p>
      <w:pPr>
        <w:ind w:left="2020" w:right="440" w:hanging="134"/>
        <w:spacing w:after="0" w:line="226" w:lineRule="auto"/>
        <w:rPr>
          <w:sz w:val="20"/>
          <w:szCs w:val="20"/>
          <w:color w:val="auto"/>
        </w:rPr>
      </w:pPr>
      <w:r>
        <w:rPr>
          <w:rFonts w:ascii="Arial" w:cs="Arial" w:eastAsia="Arial" w:hAnsi="Arial"/>
          <w:sz w:val="18"/>
          <w:szCs w:val="18"/>
          <w:color w:val="auto"/>
        </w:rPr>
        <w:t>Net increase (decrease) in cash, cash equivalents, and restricted cash</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2"/>
        </w:trPr>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(35,877</w:t>
            </w:r>
          </w:p>
        </w:tc>
        <w:tc>
          <w:tcPr>
            <w:tcW w:w="180" w:type="dxa"/>
            <w:vAlign w:val="bottom"/>
            <w:vMerge w:val="continue"/>
          </w:tcPr>
          <w:p>
            <w:pPr>
              <w:spacing w:after="0"/>
              <w:rPr>
                <w:sz w:val="15"/>
                <w:szCs w:val="15"/>
                <w:color w:val="auto"/>
              </w:rPr>
            </w:pP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(27,519</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(79,168 )</w:t>
            </w:r>
          </w:p>
        </w:tc>
        <w:tc>
          <w:tcPr>
            <w:tcW w:w="3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(114,402 )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153,442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8" w:lineRule="exact"/>
        <w:rPr>
          <w:sz w:val="20"/>
          <w:szCs w:val="20"/>
          <w:color w:val="auto"/>
        </w:rPr>
      </w:pPr>
    </w:p>
    <w:p>
      <w:pPr>
        <w:sectPr>
          <w:pgSz w:w="11900" w:h="16838" w:orient="portrait"/>
          <w:cols w:equalWidth="0" w:num="2">
            <w:col w:w="5880" w:space="720"/>
            <w:col w:w="4580"/>
          </w:cols>
          <w:pgMar w:left="320" w:top="125" w:right="399" w:bottom="1440" w:gutter="0" w:footer="0" w:header="0"/>
          <w:type w:val="continuous"/>
        </w:sectPr>
      </w:pPr>
    </w:p>
    <w:p>
      <w:pPr>
        <w:ind w:firstLine="509"/>
        <w:spacing w:after="0"/>
        <w:rPr>
          <w:sz w:val="20"/>
          <w:szCs w:val="20"/>
          <w:color w:val="auto"/>
        </w:rPr>
      </w:pPr>
      <w:r>
        <w:rPr>
          <w:rFonts w:ascii="Arial" w:cs="Arial" w:eastAsia="Arial" w:hAnsi="Arial"/>
          <w:sz w:val="18"/>
          <w:szCs w:val="18"/>
          <w:color w:val="auto"/>
        </w:rPr>
        <w:t>For the year ended December 31, 2021, net cash used in operating activities was $35.9 million, which consisted of a net loss of $42.3 million, partially offset by and a net change of $2.0 million in our net operating assets and liabilities and by $4.5 million in non-cash charges. The net change in our operating assets and liabilities was primarily due to a net increase in accounts payable and accrued expenses of $1.2 million, a net increase in accrued compensation and benefits of $0.4 million and an increase in prepaid expenses, other current assets and other long-term assets of $0.6 million, partially offset by a net decrease in other liabilities of $0.2 million. The non-cash charges of $4.5 million consisted of stock-based compensation expense, non-cash lease expense, and depreciation and amortization expense.</w:t>
      </w:r>
    </w:p>
    <w:p>
      <w:pPr>
        <w:spacing w:after="0" w:line="18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For the year ended December 31, 2020, net cash used in operating activities was $27.5 million, which consisted of a net loss of $29.5 million, partially offset by a net change of $1.2 million in our net operating assets and liabilities and by $0.9 million in non-cash charges. The net change in our operating assets and liabilities was primarily due to a net increase in accounts payable and accrued expenses of $3.7 million and a $0.3 million net increase in accrued compensation and noncurrent assets and liabilities, partially offset by a net increase in prepaid expenses and other current assets of $2.9 million. The non-cash charges of $0.9 million consisted of stock-based compensation expense, non-cash lease expense, and depreciation and amortization expense.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For the year ended December 31, 2021, cash used in investing activities was $79.2 million, consisting of purchases of available for sale securities of $79.1 million and $0.1 million related to the purchase of property and equipment.</w:t>
      </w:r>
    </w:p>
    <w:p>
      <w:pPr>
        <w:spacing w:after="0" w:line="63"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For the year ended December 31, 2020, cash used in investing activities was less than $0.1 million and related to the purchase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04" w:lineRule="exact"/>
        <w:rPr>
          <w:sz w:val="20"/>
          <w:szCs w:val="20"/>
          <w:color w:val="auto"/>
        </w:rPr>
      </w:pPr>
    </w:p>
    <w:p>
      <w:pPr>
        <w:ind w:right="540" w:firstLine="509"/>
        <w:spacing w:after="0" w:line="324" w:lineRule="auto"/>
        <w:rPr>
          <w:sz w:val="20"/>
          <w:szCs w:val="20"/>
          <w:color w:val="auto"/>
        </w:rPr>
      </w:pPr>
      <w:r>
        <w:rPr>
          <w:rFonts w:ascii="Arial" w:cs="Arial" w:eastAsia="Arial" w:hAnsi="Arial"/>
          <w:sz w:val="16"/>
          <w:szCs w:val="16"/>
          <w:color w:val="auto"/>
        </w:rPr>
        <w:t>For the year ended December 31, 2021, cash provided by financing activities was $0.6 million, consisting primarily of net proceeds from the issuance of long-term debt and proceeds from exercise of stock options and issuance of shares pursuant to our employee stock purchase plan.</w:t>
      </w:r>
    </w:p>
    <w:p>
      <w:pPr>
        <w:spacing w:after="0" w:line="16" w:lineRule="exact"/>
        <w:rPr>
          <w:sz w:val="20"/>
          <w:szCs w:val="20"/>
          <w:color w:val="auto"/>
        </w:rPr>
      </w:pPr>
    </w:p>
    <w:p>
      <w:pPr>
        <w:ind w:right="360" w:firstLine="509"/>
        <w:spacing w:after="0" w:line="258" w:lineRule="auto"/>
        <w:rPr>
          <w:sz w:val="20"/>
          <w:szCs w:val="20"/>
          <w:color w:val="auto"/>
        </w:rPr>
      </w:pPr>
      <w:r>
        <w:rPr>
          <w:rFonts w:ascii="Arial" w:cs="Arial" w:eastAsia="Arial" w:hAnsi="Arial"/>
          <w:sz w:val="17"/>
          <w:szCs w:val="17"/>
          <w:color w:val="auto"/>
        </w:rPr>
        <w:t>For the year ended December 31, 2020, cash provided by financing activities was $181.0 million, consisting primarily of net proceeds from the issuance of common stock in connection with our IPO and the issuance and sale of Series B redeemable convertible preferred stock.</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Material Cash Requirements</w:t>
      </w:r>
    </w:p>
    <w:p>
      <w:pPr>
        <w:spacing w:after="0" w:line="31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are party to the Loan Agreement, as amended by the Deferral Agreement and the First Amendment, with Silicon Valley Bank, and have material cash requirements thereunder. For a description of the terms of the Loan Agreement, see the section titled “Management’s Discussion and Analysis of Financial Condition and Results of Operations—Liquidity and Capital Resources—Loan Agreement”.</w:t>
      </w:r>
    </w:p>
    <w:p>
      <w:pPr>
        <w:spacing w:after="0" w:line="7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February 2020, we entered into a non-cancelable operating lease for office space with a commencement date of September 2020. The monthly payments escalate over the 63-month term with total gross commitments of $2.3 million.</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8"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The preparation of these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17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record accruals for estimated costs of preclinical, clinical, and manufacturing development, within accrued expenses which are significant components of research and development expenses. A substantial portion of our ongoing research and development activities is conducted by third-party service providers, including CROs. Our contracts with CROs generally include fees such as initiation fees, investigator grants, clinical safety, data management, laboratory expenses, project management, and pass-through expenses.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Payments made to third parties under these arrangements in advance of the performance of the related services by the third parties are recorded as prepaid expenses until the services are rendered.</w:t>
      </w:r>
    </w:p>
    <w:p>
      <w:pPr>
        <w:spacing w:after="0" w:line="18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If the actual timing of the performance of services or the level of effort varies from the estimate, we adjust accrued expenses or prepaid expenses accordingly, which impact research and development expenses.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account for stock-based compensation expense by measuring and recognizing compensation expense for all share-based awards based on estimated grant-date fair values. We use the straight-line method to allocate compensation cost to reporting periods over the requisite service period, which is generally the vesting period. We recognize actual forfeitures by reducing the stock-based compensation expense in the same period as the forfeitures occur.</w:t>
      </w:r>
    </w:p>
    <w:p>
      <w:pPr>
        <w:spacing w:after="0" w:line="80"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We estimate the fair value of option awards and shares purchased under our employee stock purchase plan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description of the significant assumptions used in the model are as follows:</w:t>
      </w:r>
    </w:p>
    <w:p>
      <w:pPr>
        <w:spacing w:after="0" w:line="131" w:lineRule="exact"/>
        <w:rPr>
          <w:sz w:val="20"/>
          <w:szCs w:val="20"/>
          <w:color w:val="auto"/>
        </w:rPr>
      </w:pPr>
    </w:p>
    <w:p>
      <w:pPr>
        <w:ind w:left="1020" w:right="24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market value of our common stock is determined based on the closing price of our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Nasdaq Global Select Market.</w:t>
      </w:r>
    </w:p>
    <w:p>
      <w:pPr>
        <w:spacing w:after="0" w:line="48" w:lineRule="exact"/>
        <w:rPr>
          <w:rFonts w:ascii="Arial" w:cs="Arial" w:eastAsia="Arial" w:hAnsi="Arial"/>
          <w:sz w:val="18"/>
          <w:szCs w:val="18"/>
          <w:color w:val="auto"/>
        </w:rPr>
      </w:pPr>
    </w:p>
    <w:p>
      <w:pPr>
        <w:ind w:left="1020" w:right="200" w:hanging="503"/>
        <w:spacing w:after="0" w:line="284"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is based on the simplified method, as our stock options have the following 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we have limited history of exercise data. For the ESPP, the expected term is based on the term of the purchase period.</w:t>
      </w:r>
    </w:p>
    <w:p>
      <w:pPr>
        <w:spacing w:after="0" w:line="47" w:lineRule="exact"/>
        <w:rPr>
          <w:rFonts w:ascii="Arial" w:cs="Arial" w:eastAsia="Arial" w:hAnsi="Arial"/>
          <w:sz w:val="16"/>
          <w:szCs w:val="16"/>
          <w:color w:val="auto"/>
        </w:rPr>
      </w:pPr>
    </w:p>
    <w:p>
      <w:pPr>
        <w:ind w:left="1020" w:right="120" w:hanging="503"/>
        <w:spacing w:after="0" w:line="24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estimated based on the historical volatility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evaluating similarity, we considered factor such as market capitalization, stage of development, area of specialty, and stock-specific attributes. We will continue to analyze the historical stock price volatility and expected term assumptions as more historical data for our common stock becomes available.</w:t>
      </w:r>
    </w:p>
    <w:p>
      <w:pPr>
        <w:spacing w:after="0" w:line="79"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constant maturity rates with remaining terms similar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options.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paid dividends and do not plan to pay dividends in the foreseeable future, and, therefore, used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 in the valuation model.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Forfeiture</w:t>
      </w:r>
      <w:r>
        <w:rPr>
          <w:rFonts w:ascii="Arial" w:cs="Arial" w:eastAsia="Arial" w:hAnsi="Arial"/>
          <w:sz w:val="18"/>
          <w:szCs w:val="18"/>
          <w:color w:val="auto"/>
        </w:rPr>
        <w:t>. We account for forfeiture as they occur.</w:t>
      </w:r>
    </w:p>
    <w:p>
      <w:pPr>
        <w:spacing w:after="0" w:line="21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Estimating the fair value of equity-settled awards as of the grant date using the Black-Scholes option pricing model is affected by assumptions regarding several complex variables. Changes in assumptions can materially affect the fair value and ultimately how much stock-based compensation expense is recognized. These inputs are subjective and generally required significant analysis and judgement to develop. We will continue to use judgment in evaluating the expected volatility, expected terms, and interest rates utilized for our stock-based compensation expense calculations on a prospective basis.</w:t>
      </w:r>
    </w:p>
    <w:p>
      <w:pPr>
        <w:spacing w:after="0" w:line="189"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fair value of restricted stock units, or RSUs, including RSUs subject to performance-based vesting conditions, is based on our closing stock price on the date of grant. We recognize compensation expense for time-based RSUs over the requisite service period, which is generally the vesting period of the award.</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options and restricted stock that vest upon the satisfaction of certain performance conditions, we recognize compensation expense when it becomes probable that the performance conditions will be met. When the criteria are deemed probable of being met, we record cumulative compensation expense in the period the performance criteria are deemed probable of being met and recognize the remaining compensation expense on a straight-line basis over the remaining period for which the performance criteria are expected to be completed.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an “emerging growth company” as defined in the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Our cash, cash equivalents and investments as of December 31, 2021 consisted of $121.4 million in bank deposits, money market funds, U.S. treasury securities, commercial paper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In addition, we maintain significant amounts of cash and cash equivalents at financial institutions in excess of federally insured limits.</w:t>
      </w:r>
    </w:p>
    <w:p>
      <w:pPr>
        <w:spacing w:after="0" w:line="53"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Additionally, the interest rate for borrowings under the Loan Agreement is variable and for interest-bearing investments is fixed.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0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0240" w:type="dxa"/>
            <w:vAlign w:val="bottom"/>
            <w:gridSpan w:val="1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6"/>
        </w:trPr>
        <w:tc>
          <w:tcPr>
            <w:tcW w:w="102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0" w:type="dxa"/>
            <w:vAlign w:val="bottom"/>
          </w:tcPr>
          <w:p>
            <w:pPr>
              <w:spacing w:after="0"/>
              <w:rPr>
                <w:sz w:val="24"/>
                <w:szCs w:val="24"/>
                <w:color w:val="auto"/>
              </w:rPr>
            </w:pPr>
          </w:p>
        </w:tc>
      </w:tr>
      <w:tr>
        <w:trPr>
          <w:trHeight w:val="49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0" w:type="dxa"/>
            <w:vAlign w:val="bottom"/>
            <w:gridSpan w:val="5"/>
          </w:tcPr>
          <w:p>
            <w:pPr>
              <w:jc w:val="center"/>
              <w:ind w:right="2740"/>
              <w:spacing w:after="0"/>
              <w:rPr>
                <w:sz w:val="20"/>
                <w:szCs w:val="20"/>
                <w:color w:val="auto"/>
              </w:rPr>
            </w:pPr>
            <w:r>
              <w:rPr>
                <w:rFonts w:ascii="Arial" w:cs="Arial" w:eastAsia="Arial" w:hAnsi="Arial"/>
                <w:sz w:val="18"/>
                <w:szCs w:val="18"/>
                <w:b w:val="1"/>
                <w:bCs w:val="1"/>
                <w:color w:val="auto"/>
                <w:w w:val="98"/>
              </w:rPr>
              <w:t>SPRUCE BIOSCIENCES, INC.</w:t>
            </w:r>
          </w:p>
        </w:tc>
        <w:tc>
          <w:tcPr>
            <w:tcW w:w="10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0" w:type="dxa"/>
            <w:vAlign w:val="bottom"/>
            <w:gridSpan w:val="5"/>
          </w:tcPr>
          <w:p>
            <w:pPr>
              <w:jc w:val="center"/>
              <w:ind w:right="272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(BDO</w:t>
            </w:r>
            <w:r>
              <w:rPr>
                <w:rFonts w:ascii="Arial" w:cs="Arial" w:eastAsia="Arial" w:hAnsi="Arial"/>
                <w:sz w:val="18"/>
                <w:szCs w:val="18"/>
                <w:color w:val="0000FF"/>
              </w:rPr>
              <w:t xml:space="preserve"> </w:t>
            </w:r>
            <w:r>
              <w:rPr>
                <w:rFonts w:ascii="Arial" w:cs="Arial" w:eastAsia="Arial" w:hAnsi="Arial"/>
                <w:sz w:val="18"/>
                <w:szCs w:val="18"/>
                <w:color w:val="000000"/>
              </w:rPr>
              <w:t>USA, LLP, San Jose, California, PCAOB ID #243)</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58"/>
        </w:trPr>
        <w:tc>
          <w:tcPr>
            <w:tcW w:w="20" w:type="dxa"/>
            <w:vAlign w:val="bottom"/>
            <w:tcBorders>
              <w:top w:val="single" w:sz="8" w:color="0000EE"/>
              <w:bottom w:val="single" w:sz="8" w:color="0000EE"/>
            </w:tcBorders>
          </w:tcPr>
          <w:p>
            <w:pPr>
              <w:spacing w:after="0"/>
              <w:rPr>
                <w:sz w:val="24"/>
                <w:szCs w:val="24"/>
                <w:color w:val="auto"/>
              </w:rPr>
            </w:pPr>
          </w:p>
        </w:tc>
        <w:tc>
          <w:tcPr>
            <w:tcW w:w="36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118">
              <w:r>
                <w:rPr>
                  <w:rFonts w:ascii="Arial" w:cs="Arial" w:eastAsia="Arial" w:hAnsi="Arial"/>
                  <w:sz w:val="18"/>
                  <w:szCs w:val="18"/>
                  <w:color w:val="0000FF"/>
                  <w:w w:val="88"/>
                </w:rPr>
                <w:t>Balance Sheets as of December 31, 2021 and 2020</w:t>
              </w:r>
            </w:hyperlink>
          </w:p>
        </w:tc>
        <w:tc>
          <w:tcPr>
            <w:tcW w:w="20" w:type="dxa"/>
            <w:vAlign w:val="bottom"/>
            <w:tcBorders>
              <w:top w:val="single" w:sz="8" w:color="0000FF"/>
              <w:bottom w:val="single" w:sz="8" w:color="0000EE"/>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58"/>
        </w:trPr>
        <w:tc>
          <w:tcPr>
            <w:tcW w:w="20" w:type="dxa"/>
            <w:vAlign w:val="bottom"/>
            <w:tcBorders>
              <w:bottom w:val="single" w:sz="8" w:color="0000EE"/>
            </w:tcBorders>
          </w:tcPr>
          <w:p>
            <w:pPr>
              <w:spacing w:after="0"/>
              <w:rPr>
                <w:sz w:val="24"/>
                <w:szCs w:val="24"/>
                <w:color w:val="auto"/>
              </w:rPr>
            </w:pPr>
          </w:p>
        </w:tc>
        <w:tc>
          <w:tcPr>
            <w:tcW w:w="54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119">
              <w:r>
                <w:rPr>
                  <w:rFonts w:ascii="Arial" w:cs="Arial" w:eastAsia="Arial" w:hAnsi="Arial"/>
                  <w:sz w:val="18"/>
                  <w:szCs w:val="18"/>
                  <w:color w:val="0000FF"/>
                  <w:w w:val="88"/>
                </w:rPr>
                <w:t>Statements of Operations for the Years Ended December 31, 2021 and 2020</w:t>
              </w:r>
            </w:hyperlink>
          </w:p>
        </w:tc>
        <w:tc>
          <w:tcPr>
            <w:tcW w:w="20" w:type="dxa"/>
            <w:vAlign w:val="bottom"/>
            <w:tcBorders>
              <w:bottom w:val="single" w:sz="8" w:color="0000EE"/>
            </w:tcBorders>
          </w:tcPr>
          <w:p>
            <w:pPr>
              <w:spacing w:after="0"/>
              <w:rPr>
                <w:sz w:val="24"/>
                <w:szCs w:val="24"/>
                <w:color w:val="auto"/>
              </w:rPr>
            </w:pPr>
          </w:p>
        </w:tc>
        <w:tc>
          <w:tcPr>
            <w:tcW w:w="474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58"/>
        </w:trPr>
        <w:tc>
          <w:tcPr>
            <w:tcW w:w="20" w:type="dxa"/>
            <w:vAlign w:val="bottom"/>
            <w:tcBorders>
              <w:bottom w:val="single" w:sz="8" w:color="0000EE"/>
            </w:tcBorders>
          </w:tcPr>
          <w:p>
            <w:pPr>
              <w:spacing w:after="0"/>
              <w:rPr>
                <w:sz w:val="24"/>
                <w:szCs w:val="24"/>
                <w:color w:val="auto"/>
              </w:rPr>
            </w:pPr>
          </w:p>
        </w:tc>
        <w:tc>
          <w:tcPr>
            <w:tcW w:w="95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120">
              <w:r>
                <w:rPr>
                  <w:rFonts w:ascii="Arial" w:cs="Arial" w:eastAsia="Arial" w:hAnsi="Arial"/>
                  <w:sz w:val="18"/>
                  <w:szCs w:val="18"/>
                  <w:color w:val="0000FF"/>
                  <w:w w:val="89"/>
                </w:rPr>
                <w:t>Statements of Redeemable Convertible Preferred Stock and Stockholders’ Equity for the Years Ended December 31, 2021 and 2020</w:t>
              </w:r>
            </w:hyperlink>
          </w:p>
        </w:tc>
        <w:tc>
          <w:tcPr>
            <w:tcW w:w="7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58"/>
        </w:trPr>
        <w:tc>
          <w:tcPr>
            <w:tcW w:w="20" w:type="dxa"/>
            <w:vAlign w:val="bottom"/>
            <w:tcBorders>
              <w:bottom w:val="single" w:sz="8" w:color="0000EE"/>
            </w:tcBorders>
          </w:tcPr>
          <w:p>
            <w:pPr>
              <w:spacing w:after="0"/>
              <w:rPr>
                <w:sz w:val="24"/>
                <w:szCs w:val="24"/>
                <w:color w:val="auto"/>
              </w:rPr>
            </w:pPr>
          </w:p>
        </w:tc>
        <w:tc>
          <w:tcPr>
            <w:tcW w:w="552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121">
              <w:r>
                <w:rPr>
                  <w:rFonts w:ascii="Arial" w:cs="Arial" w:eastAsia="Arial" w:hAnsi="Arial"/>
                  <w:sz w:val="18"/>
                  <w:szCs w:val="18"/>
                  <w:color w:val="0000FF"/>
                  <w:w w:val="88"/>
                </w:rPr>
                <w:t>Statements of Cash Flows for the Years Ended December 31, 2021 and 2020</w:t>
              </w:r>
            </w:hyperlink>
          </w:p>
        </w:tc>
        <w:tc>
          <w:tcPr>
            <w:tcW w:w="470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58"/>
        </w:trPr>
        <w:tc>
          <w:tcPr>
            <w:tcW w:w="20" w:type="dxa"/>
            <w:vAlign w:val="bottom"/>
          </w:tcPr>
          <w:p>
            <w:pPr>
              <w:spacing w:after="0"/>
              <w:rPr>
                <w:sz w:val="24"/>
                <w:szCs w:val="24"/>
                <w:color w:val="auto"/>
              </w:rPr>
            </w:pPr>
          </w:p>
        </w:tc>
        <w:tc>
          <w:tcPr>
            <w:tcW w:w="21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Notes to Financial Statements</w:t>
              </w:r>
            </w:hyperlink>
          </w:p>
        </w:tc>
        <w:tc>
          <w:tcPr>
            <w:tcW w:w="806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642"/>
        </w:trPr>
        <w:tc>
          <w:tcPr>
            <w:tcW w:w="9520" w:type="dxa"/>
            <w:vAlign w:val="bottom"/>
            <w:gridSpan w:val="10"/>
          </w:tcPr>
          <w:p>
            <w:pPr>
              <w:jc w:val="right"/>
              <w:ind w:right="3760"/>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Spruce Biosciences, Inc.</w:t>
      </w:r>
    </w:p>
    <w:p>
      <w:pPr>
        <w:spacing w:after="0"/>
        <w:rPr>
          <w:sz w:val="20"/>
          <w:szCs w:val="20"/>
          <w:color w:val="auto"/>
        </w:rPr>
      </w:pPr>
      <w:r>
        <w:rPr>
          <w:rFonts w:ascii="Arial" w:cs="Arial" w:eastAsia="Arial" w:hAnsi="Arial"/>
          <w:sz w:val="18"/>
          <w:szCs w:val="18"/>
          <w:color w:val="auto"/>
        </w:rPr>
        <w:t>Daly City, California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audited the accompanying balance sheets of Spruce Biosciences, Inc. (the “Company”) as of December 31, 2021 and 2020, the related statements of operations, redeemable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42,748</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46,221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2,530</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91,895</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160,397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w:t>
            </w: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32,459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380"/>
              <w:spacing w:after="0" w:line="183" w:lineRule="exact"/>
              <w:rPr>
                <w:sz w:val="20"/>
                <w:szCs w:val="20"/>
                <w:color w:val="auto"/>
              </w:rPr>
            </w:pPr>
            <w:r>
              <w:rPr>
                <w:rFonts w:ascii="Arial" w:cs="Arial" w:eastAsia="Arial" w:hAnsi="Arial"/>
                <w:sz w:val="16"/>
                <w:szCs w:val="16"/>
                <w:color w:val="auto"/>
              </w:rPr>
              <w:t>Total assets</w:t>
            </w:r>
          </w:p>
        </w:tc>
        <w:tc>
          <w:tcPr>
            <w:tcW w:w="10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126,486</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162,883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FF0FC"/>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Term loan, current portion</w:t>
            </w:r>
          </w:p>
        </w:tc>
        <w:tc>
          <w:tcPr>
            <w:tcW w:w="10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4,613</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8,871</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Term loan, net of current portion</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4,878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liability, net of current portion</w:t>
            </w: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15,115</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line="170" w:lineRule="exact"/>
              <w:rPr>
                <w:sz w:val="20"/>
                <w:szCs w:val="20"/>
                <w:color w:val="auto"/>
              </w:rPr>
            </w:pPr>
            <w:r>
              <w:rPr>
                <w:rFonts w:ascii="Arial" w:cs="Arial" w:eastAsia="Arial" w:hAnsi="Arial"/>
                <w:sz w:val="16"/>
                <w:szCs w:val="16"/>
                <w:color w:val="auto"/>
              </w:rPr>
              <w:t>Commitments and contingencies (Note 8)</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Preferred stock, $0.0001 par value; 10,000,000 shares and 0 shares authorized as</w:t>
            </w: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320"/>
              <w:spacing w:after="0" w:line="162" w:lineRule="exact"/>
              <w:rPr>
                <w:sz w:val="20"/>
                <w:szCs w:val="20"/>
                <w:color w:val="auto"/>
              </w:rPr>
            </w:pPr>
            <w:r>
              <w:rPr>
                <w:rFonts w:ascii="Arial" w:cs="Arial" w:eastAsia="Arial" w:hAnsi="Arial"/>
                <w:sz w:val="16"/>
                <w:szCs w:val="16"/>
                <w:color w:val="auto"/>
              </w:rPr>
              <w:t>of December 31, 2021 and 2020, respectively; 0 shares issued and outstanding</w:t>
            </w:r>
          </w:p>
        </w:tc>
        <w:tc>
          <w:tcPr>
            <w:tcW w:w="1000" w:type="dxa"/>
            <w:vAlign w:val="bottom"/>
          </w:tcPr>
          <w:p>
            <w:pPr>
              <w:spacing w:after="0"/>
              <w:rPr>
                <w:sz w:val="14"/>
                <w:szCs w:val="14"/>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40" w:type="dxa"/>
            <w:vAlign w:val="bottom"/>
          </w:tcPr>
          <w:p>
            <w:pPr>
              <w:ind w:left="320"/>
              <w:spacing w:after="0"/>
              <w:rPr>
                <w:sz w:val="20"/>
                <w:szCs w:val="20"/>
                <w:color w:val="auto"/>
              </w:rPr>
            </w:pPr>
            <w:r>
              <w:rPr>
                <w:rFonts w:ascii="Arial" w:cs="Arial" w:eastAsia="Arial" w:hAnsi="Arial"/>
                <w:sz w:val="16"/>
                <w:szCs w:val="16"/>
                <w:color w:val="auto"/>
              </w:rPr>
              <w:t>as of December 31, 2021 and 2020</w:t>
            </w:r>
          </w:p>
        </w:tc>
        <w:tc>
          <w:tcPr>
            <w:tcW w:w="10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Common stock, $0.0001 par value; 200,000,000 shares authorized as of December 31, 2021 and 2020,</w:t>
            </w:r>
          </w:p>
        </w:tc>
        <w:tc>
          <w:tcPr>
            <w:tcW w:w="10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6"/>
                <w:szCs w:val="16"/>
                <w:color w:val="auto"/>
                <w:w w:val="95"/>
              </w:rPr>
              <w:t>respectively; 23,491,881 shares and 23,260,399 shares issued and outstanding as of December 31, 2021 and</w:t>
            </w:r>
          </w:p>
        </w:tc>
        <w:tc>
          <w:tcPr>
            <w:tcW w:w="10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2020, respectively</w:t>
            </w:r>
          </w:p>
        </w:tc>
        <w:tc>
          <w:tcPr>
            <w:tcW w:w="100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214,685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210,266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10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(184 )</w:t>
            </w:r>
          </w:p>
        </w:tc>
        <w:tc>
          <w:tcPr>
            <w:tcW w:w="4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0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(103,133 )</w:t>
            </w:r>
          </w:p>
        </w:tc>
        <w:tc>
          <w:tcPr>
            <w:tcW w:w="46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(60,841 )</w:t>
            </w:r>
          </w:p>
        </w:tc>
        <w:tc>
          <w:tcPr>
            <w:tcW w:w="0" w:type="dxa"/>
            <w:vAlign w:val="bottom"/>
          </w:tcPr>
          <w:p>
            <w:pPr>
              <w:spacing w:after="0"/>
              <w:rPr>
                <w:sz w:val="1"/>
                <w:szCs w:val="1"/>
                <w:color w:val="auto"/>
              </w:rPr>
            </w:pPr>
          </w:p>
        </w:tc>
      </w:tr>
      <w:tr>
        <w:trPr>
          <w:trHeight w:val="182"/>
        </w:trPr>
        <w:tc>
          <w:tcPr>
            <w:tcW w:w="764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stockholders’ equity</w:t>
            </w: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111,371</w:t>
            </w: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149,427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0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126,486</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162,883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-3048000</wp:posOffset>
            </wp:positionV>
            <wp:extent cx="6032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-3048000</wp:posOffset>
            </wp:positionV>
            <wp:extent cx="5969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-1559560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-1542415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-1559560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-1542415</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-150495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-150495</wp:posOffset>
            </wp:positionV>
            <wp:extent cx="5969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SPRUCE BIOSCIENCES, INC.</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STATEMENTS OF OPERATIONS</w:t>
      </w: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30,698</w:t>
            </w:r>
          </w:p>
        </w:tc>
        <w:tc>
          <w:tcPr>
            <w:tcW w:w="280" w:type="dxa"/>
            <w:vAlign w:val="bottom"/>
          </w:tcPr>
          <w:p>
            <w:pPr>
              <w:spacing w:after="0"/>
              <w:rPr>
                <w:sz w:val="17"/>
                <w:szCs w:val="17"/>
                <w:color w:val="auto"/>
              </w:rPr>
            </w:pP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23,854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11,368</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42,066</w:t>
            </w:r>
          </w:p>
        </w:tc>
        <w:tc>
          <w:tcPr>
            <w:tcW w:w="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(42,066</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(29,416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7"/>
                <w:szCs w:val="17"/>
                <w:color w:val="auto"/>
              </w:rPr>
            </w:pPr>
          </w:p>
        </w:tc>
        <w:tc>
          <w:tcPr>
            <w:tcW w:w="15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(345 )</w:t>
            </w:r>
          </w:p>
        </w:tc>
        <w:tc>
          <w:tcPr>
            <w:tcW w:w="6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7"/>
                <w:szCs w:val="17"/>
                <w:color w:val="auto"/>
              </w:rPr>
            </w:pPr>
          </w:p>
        </w:tc>
        <w:tc>
          <w:tcPr>
            <w:tcW w:w="152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(42,292 )</w:t>
            </w:r>
          </w:p>
        </w:tc>
        <w:tc>
          <w:tcPr>
            <w:tcW w:w="66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(29,539 )</w:t>
            </w: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4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available for sale securities</w:t>
            </w:r>
          </w:p>
        </w:tc>
        <w:tc>
          <w:tcPr>
            <w:tcW w:w="400" w:type="dxa"/>
            <w:vAlign w:val="bottom"/>
          </w:tcPr>
          <w:p>
            <w:pPr>
              <w:spacing w:after="0"/>
              <w:rPr>
                <w:sz w:val="17"/>
                <w:szCs w:val="17"/>
                <w:color w:val="auto"/>
              </w:rPr>
            </w:pPr>
          </w:p>
        </w:tc>
        <w:tc>
          <w:tcPr>
            <w:tcW w:w="15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(184 )</w:t>
            </w:r>
          </w:p>
        </w:tc>
        <w:tc>
          <w:tcPr>
            <w:tcW w:w="660" w:type="dxa"/>
            <w:vAlign w:val="bottom"/>
          </w:tcPr>
          <w:p>
            <w:pPr>
              <w:spacing w:after="0"/>
              <w:rPr>
                <w:sz w:val="17"/>
                <w:szCs w:val="17"/>
                <w:color w:val="auto"/>
              </w:rPr>
            </w:pPr>
          </w:p>
        </w:tc>
        <w:tc>
          <w:tcPr>
            <w:tcW w:w="10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(42,476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(29,539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2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(1.81 )</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of common stock outstanding,</w:t>
            </w:r>
          </w:p>
        </w:tc>
        <w:tc>
          <w:tcPr>
            <w:tcW w:w="4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23,361,416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5,991,213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-1470660</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-1470660</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-939165</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-939165</wp:posOffset>
            </wp:positionV>
            <wp:extent cx="5969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-399415</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-399415</wp:posOffset>
            </wp:positionV>
            <wp:extent cx="5969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EQUITY/(DEFICIT)</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40"/>
          </w:cols>
          <w:pgMar w:left="320" w:top="125" w:right="339" w:bottom="1440" w:gutter="0" w:footer="0" w:header="0"/>
        </w:sect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140" w:type="dxa"/>
            <w:vAlign w:val="bottom"/>
          </w:tcPr>
          <w:p>
            <w:pPr>
              <w:spacing w:after="0"/>
              <w:rPr>
                <w:sz w:val="14"/>
                <w:szCs w:val="14"/>
                <w:color w:val="auto"/>
              </w:rPr>
            </w:pPr>
          </w:p>
        </w:tc>
        <w:tc>
          <w:tcPr>
            <w:tcW w:w="29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3"/>
                <w:szCs w:val="13"/>
                <w:b w:val="1"/>
                <w:bCs w:val="1"/>
                <w:color w:val="auto"/>
              </w:rPr>
              <w:t>Redeemable Convertible Preferred Stock</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Series A</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Series B</w:t>
            </w:r>
          </w:p>
        </w:tc>
        <w:tc>
          <w:tcPr>
            <w:tcW w:w="5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14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December 31, 2019</w:t>
            </w: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2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7"/>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30"/>
        </w:trPr>
        <w:tc>
          <w:tcPr>
            <w:tcW w:w="2140" w:type="dxa"/>
            <w:vAlign w:val="bottom"/>
            <w:vMerge w:val="continue"/>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28,000,000</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27,813</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3" w:lineRule="exact"/>
              <w:rPr>
                <w:sz w:val="20"/>
                <w:szCs w:val="20"/>
                <w:color w:val="auto"/>
              </w:rPr>
            </w:pPr>
            <w:r>
              <w:rPr>
                <w:rFonts w:ascii="Arial" w:cs="Arial" w:eastAsia="Arial" w:hAnsi="Arial"/>
                <w:sz w:val="13"/>
                <w:szCs w:val="13"/>
                <w:color w:val="auto"/>
              </w:rPr>
              <w:t>Issuance of Series B redeemable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40" w:type="dxa"/>
            <w:vAlign w:val="bottom"/>
          </w:tcPr>
          <w:p>
            <w:pPr>
              <w:ind w:left="240"/>
              <w:spacing w:after="0" w:line="122" w:lineRule="exact"/>
              <w:rPr>
                <w:sz w:val="20"/>
                <w:szCs w:val="20"/>
                <w:color w:val="auto"/>
              </w:rPr>
            </w:pPr>
            <w:r>
              <w:rPr>
                <w:rFonts w:ascii="Arial" w:cs="Arial" w:eastAsia="Arial" w:hAnsi="Arial"/>
                <w:sz w:val="13"/>
                <w:szCs w:val="13"/>
                <w:color w:val="auto"/>
                <w:w w:val="97"/>
              </w:rPr>
              <w:t>convertible preferred stock, net of</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73,333,330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87,633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40"/>
              <w:spacing w:after="0" w:line="148" w:lineRule="exact"/>
              <w:rPr>
                <w:sz w:val="20"/>
                <w:szCs w:val="20"/>
                <w:color w:val="auto"/>
              </w:rPr>
            </w:pPr>
            <w:r>
              <w:rPr>
                <w:rFonts w:ascii="Arial" w:cs="Arial" w:eastAsia="Arial" w:hAnsi="Arial"/>
                <w:sz w:val="13"/>
                <w:szCs w:val="13"/>
                <w:color w:val="auto"/>
              </w:rPr>
              <w:t>issuance costs of $367</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3" w:lineRule="exact"/>
              <w:rPr>
                <w:sz w:val="20"/>
                <w:szCs w:val="20"/>
                <w:color w:val="auto"/>
              </w:rPr>
            </w:pPr>
            <w:r>
              <w:rPr>
                <w:rFonts w:ascii="Arial" w:cs="Arial" w:eastAsia="Arial" w:hAnsi="Arial"/>
                <w:sz w:val="13"/>
                <w:szCs w:val="13"/>
                <w:color w:val="auto"/>
              </w:rPr>
              <w:t>Conversion of redeemable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2" w:lineRule="exact"/>
              <w:rPr>
                <w:sz w:val="20"/>
                <w:szCs w:val="20"/>
                <w:color w:val="auto"/>
              </w:rPr>
            </w:pPr>
            <w:r>
              <w:rPr>
                <w:rFonts w:ascii="Arial" w:cs="Arial" w:eastAsia="Arial" w:hAnsi="Arial"/>
                <w:sz w:val="13"/>
                <w:szCs w:val="13"/>
                <w:color w:val="auto"/>
              </w:rPr>
              <w:t>convertible</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240"/>
              <w:spacing w:after="0" w:line="122" w:lineRule="exact"/>
              <w:rPr>
                <w:sz w:val="20"/>
                <w:szCs w:val="20"/>
                <w:color w:val="auto"/>
              </w:rPr>
            </w:pPr>
            <w:r>
              <w:rPr>
                <w:rFonts w:ascii="Arial" w:cs="Arial" w:eastAsia="Arial" w:hAnsi="Arial"/>
                <w:sz w:val="13"/>
                <w:szCs w:val="13"/>
                <w:color w:val="auto"/>
                <w:w w:val="94"/>
              </w:rPr>
              <w:t>preferred stock into common stock</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(28,000,000 )</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w w:val="96"/>
              </w:rPr>
              <w:t>(27,813 )</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(73,333,330 )</w:t>
            </w:r>
          </w:p>
        </w:tc>
        <w:tc>
          <w:tcPr>
            <w:tcW w:w="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(87,633 )</w:t>
            </w:r>
          </w:p>
        </w:tc>
        <w:tc>
          <w:tcPr>
            <w:tcW w:w="0" w:type="dxa"/>
            <w:vAlign w:val="bottom"/>
          </w:tcPr>
          <w:p>
            <w:pPr>
              <w:spacing w:after="0"/>
              <w:rPr>
                <w:sz w:val="1"/>
                <w:szCs w:val="1"/>
                <w:color w:val="auto"/>
              </w:rPr>
            </w:pPr>
          </w:p>
        </w:tc>
      </w:tr>
      <w:tr>
        <w:trPr>
          <w:trHeight w:val="148"/>
        </w:trPr>
        <w:tc>
          <w:tcPr>
            <w:tcW w:w="2140" w:type="dxa"/>
            <w:vAlign w:val="bottom"/>
          </w:tcPr>
          <w:p>
            <w:pPr>
              <w:ind w:left="240"/>
              <w:spacing w:after="0" w:line="148" w:lineRule="exact"/>
              <w:rPr>
                <w:sz w:val="20"/>
                <w:szCs w:val="20"/>
                <w:color w:val="auto"/>
              </w:rPr>
            </w:pPr>
            <w:r>
              <w:rPr>
                <w:rFonts w:ascii="Arial" w:cs="Arial" w:eastAsia="Arial" w:hAnsi="Arial"/>
                <w:sz w:val="13"/>
                <w:szCs w:val="13"/>
                <w:color w:val="auto"/>
              </w:rPr>
              <w:t>upon initial public offering</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3" w:lineRule="exact"/>
              <w:rPr>
                <w:sz w:val="20"/>
                <w:szCs w:val="20"/>
                <w:color w:val="auto"/>
              </w:rPr>
            </w:pPr>
            <w:r>
              <w:rPr>
                <w:rFonts w:ascii="Arial" w:cs="Arial" w:eastAsia="Arial" w:hAnsi="Arial"/>
                <w:sz w:val="13"/>
                <w:szCs w:val="13"/>
                <w:color w:val="auto"/>
              </w:rPr>
              <w:t>Initial public offering of common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240"/>
              <w:spacing w:after="0" w:line="122" w:lineRule="exact"/>
              <w:rPr>
                <w:sz w:val="20"/>
                <w:szCs w:val="20"/>
                <w:color w:val="auto"/>
              </w:rPr>
            </w:pPr>
            <w:r>
              <w:rPr>
                <w:rFonts w:ascii="Arial" w:cs="Arial" w:eastAsia="Arial" w:hAnsi="Arial"/>
                <w:sz w:val="13"/>
                <w:szCs w:val="13"/>
                <w:color w:val="auto"/>
              </w:rPr>
              <w:t>stock, net of underwriting</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2" w:lineRule="exact"/>
              <w:rPr>
                <w:sz w:val="20"/>
                <w:szCs w:val="20"/>
                <w:color w:val="auto"/>
              </w:rPr>
            </w:pPr>
            <w:r>
              <w:rPr>
                <w:rFonts w:ascii="Arial" w:cs="Arial" w:eastAsia="Arial" w:hAnsi="Arial"/>
                <w:sz w:val="13"/>
                <w:szCs w:val="13"/>
                <w:color w:val="auto"/>
              </w:rPr>
              <w:t>expenses</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40" w:type="dxa"/>
            <w:vAlign w:val="bottom"/>
          </w:tcPr>
          <w:p>
            <w:pPr>
              <w:ind w:left="240"/>
              <w:spacing w:after="0" w:line="148" w:lineRule="exact"/>
              <w:rPr>
                <w:sz w:val="20"/>
                <w:szCs w:val="20"/>
                <w:color w:val="auto"/>
              </w:rPr>
            </w:pPr>
            <w:r>
              <w:rPr>
                <w:rFonts w:ascii="Arial" w:cs="Arial" w:eastAsia="Arial" w:hAnsi="Arial"/>
                <w:sz w:val="13"/>
                <w:szCs w:val="13"/>
                <w:color w:val="auto"/>
              </w:rPr>
              <w:t>and offering costs of $10,149</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w w:val="99"/>
              </w:rPr>
              <w:t>Exercise of common stock warrant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14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140" w:type="dxa"/>
            <w:vAlign w:val="bottom"/>
          </w:tcPr>
          <w:p>
            <w:pPr>
              <w:spacing w:after="0" w:line="131" w:lineRule="exact"/>
              <w:rPr>
                <w:sz w:val="20"/>
                <w:szCs w:val="20"/>
                <w:color w:val="auto"/>
              </w:rPr>
            </w:pPr>
            <w:r>
              <w:rPr>
                <w:rFonts w:ascii="Arial" w:cs="Arial" w:eastAsia="Arial" w:hAnsi="Arial"/>
                <w:sz w:val="13"/>
                <w:szCs w:val="13"/>
                <w:b w:val="1"/>
                <w:bCs w:val="1"/>
                <w:color w:val="auto"/>
              </w:rPr>
              <w:t>Balance as of December 31, 2020</w:t>
            </w: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rPr>
                <w:sz w:val="20"/>
                <w:szCs w:val="20"/>
                <w:color w:val="auto"/>
              </w:rPr>
            </w:pPr>
            <w:r>
              <w:rPr>
                <w:rFonts w:ascii="Arial" w:cs="Arial" w:eastAsia="Arial" w:hAnsi="Arial"/>
                <w:sz w:val="13"/>
                <w:szCs w:val="13"/>
                <w:color w:val="auto"/>
              </w:rPr>
              <w:t>Exercise of common stock options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3" w:lineRule="exact"/>
              <w:rPr>
                <w:sz w:val="20"/>
                <w:szCs w:val="20"/>
                <w:color w:val="auto"/>
              </w:rPr>
            </w:pPr>
            <w:r>
              <w:rPr>
                <w:rFonts w:ascii="Arial" w:cs="Arial" w:eastAsia="Arial" w:hAnsi="Arial"/>
                <w:sz w:val="13"/>
                <w:szCs w:val="13"/>
                <w:color w:val="auto"/>
                <w:w w:val="93"/>
              </w:rPr>
              <w:t>Issuance of common stock related to</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line="148" w:lineRule="exact"/>
              <w:rPr>
                <w:sz w:val="20"/>
                <w:szCs w:val="20"/>
                <w:color w:val="auto"/>
              </w:rPr>
            </w:pPr>
            <w:r>
              <w:rPr>
                <w:rFonts w:ascii="Arial" w:cs="Arial" w:eastAsia="Arial" w:hAnsi="Arial"/>
                <w:sz w:val="13"/>
                <w:szCs w:val="13"/>
                <w:color w:val="auto"/>
              </w:rPr>
              <w:t>employee stock purchase plan</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140" w:type="dxa"/>
            <w:vAlign w:val="bottom"/>
          </w:tcPr>
          <w:p>
            <w:pPr>
              <w:ind w:left="140"/>
              <w:spacing w:after="0" w:line="123" w:lineRule="exact"/>
              <w:rPr>
                <w:sz w:val="20"/>
                <w:szCs w:val="20"/>
                <w:color w:val="auto"/>
              </w:rPr>
            </w:pPr>
            <w:r>
              <w:rPr>
                <w:rFonts w:ascii="Arial" w:cs="Arial" w:eastAsia="Arial" w:hAnsi="Arial"/>
                <w:sz w:val="13"/>
                <w:szCs w:val="13"/>
                <w:color w:val="auto"/>
                <w:w w:val="95"/>
              </w:rPr>
              <w:t>Unrealized loss on available for sale</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40" w:type="dxa"/>
            <w:vAlign w:val="bottom"/>
          </w:tcPr>
          <w:p>
            <w:pPr>
              <w:ind w:left="140"/>
              <w:spacing w:after="0" w:line="148" w:lineRule="exact"/>
              <w:rPr>
                <w:sz w:val="20"/>
                <w:szCs w:val="20"/>
                <w:color w:val="auto"/>
              </w:rPr>
            </w:pPr>
            <w:r>
              <w:rPr>
                <w:rFonts w:ascii="Arial" w:cs="Arial" w:eastAsia="Arial" w:hAnsi="Arial"/>
                <w:sz w:val="13"/>
                <w:szCs w:val="13"/>
                <w:color w:val="auto"/>
              </w:rPr>
              <w:t>securities</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4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140" w:type="dxa"/>
            <w:vAlign w:val="bottom"/>
          </w:tcPr>
          <w:p>
            <w:pPr>
              <w:spacing w:after="0" w:line="144" w:lineRule="exact"/>
              <w:rPr>
                <w:sz w:val="20"/>
                <w:szCs w:val="20"/>
                <w:color w:val="auto"/>
              </w:rPr>
            </w:pPr>
            <w:r>
              <w:rPr>
                <w:rFonts w:ascii="Arial" w:cs="Arial" w:eastAsia="Arial" w:hAnsi="Arial"/>
                <w:sz w:val="13"/>
                <w:szCs w:val="13"/>
                <w:b w:val="1"/>
                <w:bCs w:val="1"/>
                <w:color w:val="auto"/>
              </w:rPr>
              <w:t>Balance as of December 31, 2021</w:t>
            </w:r>
          </w:p>
        </w:tc>
        <w:tc>
          <w:tcPr>
            <w:tcW w:w="8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27514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2751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4"/>
              </w:rPr>
              <w:t>Additional</w:t>
            </w:r>
          </w:p>
        </w:tc>
        <w:tc>
          <w:tcPr>
            <w:tcW w:w="220" w:type="dxa"/>
            <w:vAlign w:val="bottom"/>
          </w:tcPr>
          <w:p>
            <w:pPr>
              <w:spacing w:after="0"/>
              <w:rPr>
                <w:sz w:val="13"/>
                <w:szCs w:val="13"/>
                <w:color w:val="auto"/>
              </w:rPr>
            </w:pPr>
          </w:p>
        </w:tc>
        <w:tc>
          <w:tcPr>
            <w:tcW w:w="1000" w:type="dxa"/>
            <w:vAlign w:val="bottom"/>
            <w:gridSpan w:val="3"/>
          </w:tcPr>
          <w:p>
            <w:pPr>
              <w:jc w:val="center"/>
              <w:ind w:right="158"/>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center"/>
              <w:ind w:right="9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78"/>
              <w:spacing w:after="0" w:line="144"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20" w:type="dxa"/>
            <w:vAlign w:val="bottom"/>
            <w:gridSpan w:val="3"/>
            <w:vMerge w:val="restart"/>
          </w:tcPr>
          <w:p>
            <w:pPr>
              <w:ind w:left="320"/>
              <w:spacing w:after="0"/>
              <w:rPr>
                <w:sz w:val="20"/>
                <w:szCs w:val="20"/>
                <w:color w:val="auto"/>
              </w:rPr>
            </w:pPr>
            <w:r>
              <w:rPr>
                <w:rFonts w:ascii="Arial" w:cs="Arial" w:eastAsia="Arial" w:hAnsi="Arial"/>
                <w:sz w:val="13"/>
                <w:szCs w:val="13"/>
                <w:b w:val="1"/>
                <w:bCs w:val="1"/>
                <w:color w:val="auto"/>
                <w:w w:val="92"/>
              </w:rPr>
              <w:t>Common Stock</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0"/>
                <w:szCs w:val="10"/>
                <w:color w:val="auto"/>
              </w:rPr>
            </w:pPr>
          </w:p>
        </w:tc>
        <w:tc>
          <w:tcPr>
            <w:tcW w:w="1000" w:type="dxa"/>
            <w:vAlign w:val="bottom"/>
            <w:gridSpan w:val="3"/>
          </w:tcPr>
          <w:p>
            <w:pPr>
              <w:jc w:val="center"/>
              <w:ind w:right="138"/>
              <w:spacing w:after="0" w:line="126" w:lineRule="exact"/>
              <w:rPr>
                <w:sz w:val="20"/>
                <w:szCs w:val="20"/>
                <w:color w:val="auto"/>
              </w:rPr>
            </w:pPr>
            <w:r>
              <w:rPr>
                <w:rFonts w:ascii="Arial" w:cs="Arial" w:eastAsia="Arial" w:hAnsi="Arial"/>
                <w:sz w:val="13"/>
                <w:szCs w:val="13"/>
                <w:b w:val="1"/>
                <w:bCs w:val="1"/>
                <w:color w:val="auto"/>
                <w:w w:val="86"/>
              </w:rPr>
              <w:t>Comprehensiv</w:t>
            </w:r>
          </w:p>
        </w:tc>
        <w:tc>
          <w:tcPr>
            <w:tcW w:w="8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Accumulate</w:t>
            </w:r>
          </w:p>
        </w:tc>
        <w:tc>
          <w:tcPr>
            <w:tcW w:w="76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7"/>
              </w:rPr>
              <w:t>Stockholder</w:t>
            </w:r>
          </w:p>
        </w:tc>
        <w:tc>
          <w:tcPr>
            <w:tcW w:w="0" w:type="dxa"/>
            <w:vAlign w:val="bottom"/>
          </w:tcPr>
          <w:p>
            <w:pPr>
              <w:spacing w:after="0"/>
              <w:rPr>
                <w:sz w:val="1"/>
                <w:szCs w:val="1"/>
                <w:color w:val="auto"/>
              </w:rPr>
            </w:pPr>
          </w:p>
        </w:tc>
      </w:tr>
      <w:tr>
        <w:trPr>
          <w:trHeight w:val="149"/>
        </w:trPr>
        <w:tc>
          <w:tcPr>
            <w:tcW w:w="122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98"/>
              <w:spacing w:after="0"/>
              <w:rPr>
                <w:sz w:val="20"/>
                <w:szCs w:val="20"/>
                <w:color w:val="auto"/>
              </w:rPr>
            </w:pPr>
            <w:r>
              <w:rPr>
                <w:rFonts w:ascii="Arial" w:cs="Arial" w:eastAsia="Arial" w:hAnsi="Arial"/>
                <w:sz w:val="13"/>
                <w:szCs w:val="13"/>
                <w:b w:val="1"/>
                <w:bCs w:val="1"/>
                <w:color w:val="auto"/>
                <w:w w:val="82"/>
              </w:rPr>
              <w:t>e</w:t>
            </w:r>
          </w:p>
        </w:tc>
        <w:tc>
          <w:tcPr>
            <w:tcW w:w="120" w:type="dxa"/>
            <w:vAlign w:val="bottom"/>
          </w:tcPr>
          <w:p>
            <w:pPr>
              <w:spacing w:after="0"/>
              <w:rPr>
                <w:sz w:val="12"/>
                <w:szCs w:val="12"/>
                <w:color w:val="auto"/>
              </w:rPr>
            </w:pPr>
          </w:p>
        </w:tc>
        <w:tc>
          <w:tcPr>
            <w:tcW w:w="760" w:type="dxa"/>
            <w:vAlign w:val="bottom"/>
            <w:gridSpan w:val="2"/>
          </w:tcPr>
          <w:p>
            <w:pPr>
              <w:jc w:val="right"/>
              <w:ind w:right="437"/>
              <w:spacing w:after="0"/>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12"/>
                <w:szCs w:val="12"/>
                <w:color w:val="auto"/>
              </w:rPr>
            </w:pPr>
          </w:p>
        </w:tc>
        <w:tc>
          <w:tcPr>
            <w:tcW w:w="66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96"/>
              </w:rPr>
              <w:t>s'</w:t>
            </w:r>
          </w:p>
        </w:tc>
        <w:tc>
          <w:tcPr>
            <w:tcW w:w="0" w:type="dxa"/>
            <w:vAlign w:val="bottom"/>
          </w:tcPr>
          <w:p>
            <w:pPr>
              <w:spacing w:after="0"/>
              <w:rPr>
                <w:sz w:val="1"/>
                <w:szCs w:val="1"/>
                <w:color w:val="auto"/>
              </w:rPr>
            </w:pPr>
          </w:p>
        </w:tc>
      </w:tr>
      <w:tr>
        <w:trPr>
          <w:trHeight w:val="101"/>
        </w:trPr>
        <w:tc>
          <w:tcPr>
            <w:tcW w:w="7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278"/>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8"/>
                <w:szCs w:val="8"/>
                <w:color w:val="auto"/>
              </w:rPr>
            </w:pPr>
          </w:p>
        </w:tc>
        <w:tc>
          <w:tcPr>
            <w:tcW w:w="760" w:type="dxa"/>
            <w:vAlign w:val="bottom"/>
            <w:gridSpan w:val="2"/>
            <w:vMerge w:val="restart"/>
          </w:tcPr>
          <w:p>
            <w:pPr>
              <w:jc w:val="right"/>
              <w:ind w:right="297"/>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8"/>
                <w:szCs w:val="8"/>
                <w:color w:val="auto"/>
              </w:rPr>
            </w:pPr>
          </w:p>
        </w:tc>
        <w:tc>
          <w:tcPr>
            <w:tcW w:w="660" w:type="dxa"/>
            <w:vAlign w:val="bottom"/>
            <w:gridSpan w:val="2"/>
          </w:tcPr>
          <w:p>
            <w:pPr>
              <w:jc w:val="center"/>
              <w:ind w:right="137"/>
              <w:spacing w:after="0" w:line="102" w:lineRule="exact"/>
              <w:rPr>
                <w:sz w:val="20"/>
                <w:szCs w:val="20"/>
                <w:color w:val="auto"/>
              </w:rPr>
            </w:pPr>
            <w:r>
              <w:rPr>
                <w:rFonts w:ascii="Arial" w:cs="Arial" w:eastAsia="Arial" w:hAnsi="Arial"/>
                <w:sz w:val="10"/>
                <w:szCs w:val="10"/>
                <w:b w:val="1"/>
                <w:bCs w:val="1"/>
                <w:color w:val="auto"/>
              </w:rPr>
              <w:t>Equity /</w:t>
            </w:r>
          </w:p>
        </w:tc>
        <w:tc>
          <w:tcPr>
            <w:tcW w:w="0" w:type="dxa"/>
            <w:vAlign w:val="bottom"/>
          </w:tcPr>
          <w:p>
            <w:pPr>
              <w:spacing w:after="0"/>
              <w:rPr>
                <w:sz w:val="1"/>
                <w:szCs w:val="1"/>
                <w:color w:val="auto"/>
              </w:rPr>
            </w:pPr>
          </w:p>
        </w:tc>
      </w:tr>
      <w:tr>
        <w:trPr>
          <w:trHeight w:val="162"/>
        </w:trPr>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4"/>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764,408</w:t>
            </w:r>
          </w:p>
        </w:tc>
        <w:tc>
          <w:tcPr>
            <w:tcW w:w="200" w:type="dxa"/>
            <w:vAlign w:val="bottom"/>
          </w:tcPr>
          <w:p>
            <w:pPr>
              <w:spacing w:after="0"/>
              <w:rPr>
                <w:sz w:val="13"/>
                <w:szCs w:val="13"/>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664</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(31,302</w:t>
            </w:r>
          </w:p>
        </w:tc>
        <w:tc>
          <w:tcPr>
            <w:tcW w:w="180" w:type="dxa"/>
            <w:vAlign w:val="bottom"/>
          </w:tcPr>
          <w:p>
            <w:pPr>
              <w:jc w:val="right"/>
              <w:ind w:right="57"/>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(30,637</w:t>
            </w:r>
          </w:p>
        </w:tc>
        <w:tc>
          <w:tcPr>
            <w:tcW w:w="60" w:type="dxa"/>
            <w:vAlign w:val="bottom"/>
          </w:tcPr>
          <w:p>
            <w:pPr>
              <w:jc w:val="right"/>
              <w:spacing w:after="0" w:line="141"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377"/>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13"/>
        </w:trPr>
        <w:tc>
          <w:tcPr>
            <w:tcW w:w="720" w:type="dxa"/>
            <w:vAlign w:val="bottom"/>
          </w:tcPr>
          <w:p>
            <w:pPr>
              <w:jc w:val="right"/>
              <w:spacing w:after="0"/>
              <w:rPr>
                <w:sz w:val="20"/>
                <w:szCs w:val="20"/>
                <w:color w:val="auto"/>
              </w:rPr>
            </w:pPr>
            <w:r>
              <w:rPr>
                <w:rFonts w:ascii="Arial" w:cs="Arial" w:eastAsia="Arial" w:hAnsi="Arial"/>
                <w:sz w:val="13"/>
                <w:szCs w:val="13"/>
                <w:color w:val="auto"/>
              </w:rPr>
              <w:t>15,492,019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115,446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720" w:type="dxa"/>
            <w:vAlign w:val="bottom"/>
          </w:tcPr>
          <w:p>
            <w:pPr>
              <w:jc w:val="right"/>
              <w:spacing w:after="0"/>
              <w:rPr>
                <w:sz w:val="20"/>
                <w:szCs w:val="20"/>
                <w:color w:val="auto"/>
              </w:rPr>
            </w:pPr>
            <w:r>
              <w:rPr>
                <w:rFonts w:ascii="Arial" w:cs="Arial" w:eastAsia="Arial" w:hAnsi="Arial"/>
                <w:sz w:val="13"/>
                <w:szCs w:val="13"/>
                <w:color w:val="auto"/>
              </w:rPr>
              <w:t>6,900,000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93,351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93,351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rPr>
                <w:sz w:val="20"/>
                <w:szCs w:val="20"/>
                <w:color w:val="auto"/>
              </w:rPr>
            </w:pPr>
            <w:r>
              <w:rPr>
                <w:rFonts w:ascii="Arial" w:cs="Arial" w:eastAsia="Arial" w:hAnsi="Arial"/>
                <w:sz w:val="13"/>
                <w:szCs w:val="13"/>
                <w:color w:val="auto"/>
              </w:rPr>
              <w:t>57,614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right"/>
              <w:spacing w:after="0"/>
              <w:rPr>
                <w:sz w:val="20"/>
                <w:szCs w:val="20"/>
                <w:color w:val="auto"/>
              </w:rPr>
            </w:pPr>
            <w:r>
              <w:rPr>
                <w:rFonts w:ascii="Arial" w:cs="Arial" w:eastAsia="Arial" w:hAnsi="Arial"/>
                <w:sz w:val="13"/>
                <w:szCs w:val="13"/>
                <w:color w:val="auto"/>
              </w:rPr>
              <w:t>46,358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(29,539 )</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(29,539 )</w:t>
            </w:r>
          </w:p>
        </w:tc>
        <w:tc>
          <w:tcPr>
            <w:tcW w:w="0" w:type="dxa"/>
            <w:vAlign w:val="bottom"/>
          </w:tcPr>
          <w:p>
            <w:pPr>
              <w:spacing w:after="0"/>
              <w:rPr>
                <w:sz w:val="1"/>
                <w:szCs w:val="1"/>
                <w:color w:val="auto"/>
              </w:rPr>
            </w:pPr>
          </w:p>
        </w:tc>
      </w:tr>
      <w:tr>
        <w:trPr>
          <w:trHeight w:val="130"/>
        </w:trPr>
        <w:tc>
          <w:tcPr>
            <w:tcW w:w="7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23,260,399</w:t>
            </w: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210,266</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(60,841</w:t>
            </w:r>
          </w:p>
        </w:tc>
        <w:tc>
          <w:tcPr>
            <w:tcW w:w="180" w:type="dxa"/>
            <w:vAlign w:val="bottom"/>
          </w:tcPr>
          <w:p>
            <w:pPr>
              <w:jc w:val="right"/>
              <w:ind w:right="57"/>
              <w:spacing w:after="0" w:line="131"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149,427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jc w:val="right"/>
              <w:spacing w:after="0"/>
              <w:rPr>
                <w:sz w:val="20"/>
                <w:szCs w:val="20"/>
                <w:color w:val="auto"/>
              </w:rPr>
            </w:pPr>
            <w:r>
              <w:rPr>
                <w:rFonts w:ascii="Arial" w:cs="Arial" w:eastAsia="Arial" w:hAnsi="Arial"/>
                <w:sz w:val="13"/>
                <w:szCs w:val="13"/>
                <w:color w:val="auto"/>
              </w:rPr>
              <w:t>211,439</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rPr>
                <w:sz w:val="20"/>
                <w:szCs w:val="20"/>
                <w:color w:val="auto"/>
              </w:rPr>
            </w:pPr>
            <w:r>
              <w:rPr>
                <w:rFonts w:ascii="Arial" w:cs="Arial" w:eastAsia="Arial" w:hAnsi="Arial"/>
                <w:sz w:val="13"/>
                <w:szCs w:val="13"/>
                <w:color w:val="auto"/>
              </w:rPr>
              <w:t>20,043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3,958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(184 )</w:t>
            </w:r>
          </w:p>
        </w:tc>
        <w:tc>
          <w:tcPr>
            <w:tcW w:w="120" w:type="dxa"/>
            <w:vAlign w:val="bottom"/>
          </w:tcPr>
          <w:p>
            <w:pPr>
              <w:spacing w:after="0"/>
              <w:rPr>
                <w:sz w:val="22"/>
                <w:szCs w:val="22"/>
                <w:color w:val="auto"/>
              </w:rPr>
            </w:pPr>
          </w:p>
        </w:tc>
        <w:tc>
          <w:tcPr>
            <w:tcW w:w="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(184 )</w:t>
            </w:r>
          </w:p>
        </w:tc>
        <w:tc>
          <w:tcPr>
            <w:tcW w:w="0" w:type="dxa"/>
            <w:vAlign w:val="bottom"/>
          </w:tcPr>
          <w:p>
            <w:pPr>
              <w:spacing w:after="0"/>
              <w:rPr>
                <w:sz w:val="1"/>
                <w:szCs w:val="1"/>
                <w:color w:val="auto"/>
              </w:rPr>
            </w:pPr>
          </w:p>
        </w:tc>
      </w:tr>
      <w:tr>
        <w:trPr>
          <w:trHeight w:val="160"/>
        </w:trPr>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(42,292 )</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(42,292 )</w:t>
            </w:r>
          </w:p>
        </w:tc>
        <w:tc>
          <w:tcPr>
            <w:tcW w:w="0" w:type="dxa"/>
            <w:vAlign w:val="bottom"/>
          </w:tcPr>
          <w:p>
            <w:pPr>
              <w:spacing w:after="0"/>
              <w:rPr>
                <w:sz w:val="1"/>
                <w:szCs w:val="1"/>
                <w:color w:val="auto"/>
              </w:rPr>
            </w:pPr>
          </w:p>
        </w:tc>
      </w:tr>
      <w:tr>
        <w:trPr>
          <w:trHeight w:val="144"/>
        </w:trPr>
        <w:tc>
          <w:tcPr>
            <w:tcW w:w="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23,491,881</w:t>
            </w: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214,685</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4"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(184</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(103,133</w:t>
            </w:r>
          </w:p>
        </w:tc>
        <w:tc>
          <w:tcPr>
            <w:tcW w:w="180" w:type="dxa"/>
            <w:vAlign w:val="bottom"/>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111,371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5740" w:space="320"/>
            <w:col w:w="518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(42,292 )</w:t>
            </w: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(29,539 )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3,958</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premium on available-for-sale investments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(2,883 )</w:t>
            </w: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compensation and benefits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liabilities</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(156 )</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(35,877 )</w:t>
            </w:r>
          </w:p>
        </w:tc>
        <w:tc>
          <w:tcPr>
            <w:tcW w:w="6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(27,519 )</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(93 )</w:t>
            </w:r>
          </w:p>
        </w:tc>
        <w:tc>
          <w:tcPr>
            <w:tcW w:w="6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9"/>
              </w:rPr>
              <w:t>(79,075 )</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9"/>
              </w:rPr>
              <w:t>(79,168 )</w:t>
            </w:r>
          </w:p>
        </w:tc>
        <w:tc>
          <w:tcPr>
            <w:tcW w:w="6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Proceeds from issuance of Series B redeemable convertible preferred</w:t>
            </w:r>
          </w:p>
        </w:tc>
        <w:tc>
          <w:tcPr>
            <w:tcW w:w="960" w:type="dxa"/>
            <w:vAlign w:val="bottom"/>
          </w:tcPr>
          <w:p>
            <w:pPr>
              <w:spacing w:after="0"/>
              <w:rPr>
                <w:sz w:val="14"/>
                <w:szCs w:val="1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stock, net of issuance costs</w:t>
            </w:r>
          </w:p>
        </w:tc>
        <w:tc>
          <w:tcPr>
            <w:tcW w:w="9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Proceeds from initial public offering, net of underwriting discounts, commissions, and offering</w:t>
            </w:r>
          </w:p>
        </w:tc>
        <w:tc>
          <w:tcPr>
            <w:tcW w:w="9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expenses</w:t>
            </w:r>
          </w:p>
        </w:tc>
        <w:tc>
          <w:tcPr>
            <w:tcW w:w="96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term loan, net of issuance costs of $10</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4,990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 of term loan</w:t>
            </w:r>
          </w:p>
        </w:tc>
        <w:tc>
          <w:tcPr>
            <w:tcW w:w="9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(4,770 )</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common stock options</w:t>
            </w:r>
          </w:p>
        </w:tc>
        <w:tc>
          <w:tcPr>
            <w:tcW w:w="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related to employee stock purchase plan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Payment of deferred offering costs</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(39 )</w:t>
            </w: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643</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181,035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87"/>
              </w:rPr>
              <w:t>(114,402 )</w:t>
            </w:r>
          </w:p>
        </w:tc>
        <w:tc>
          <w:tcPr>
            <w:tcW w:w="6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153,442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157,366</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42,964</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cash flow data:</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Deferred offering costs included in accrued expenses</w:t>
            </w:r>
          </w:p>
        </w:tc>
        <w:tc>
          <w:tcPr>
            <w:tcW w:w="960" w:type="dxa"/>
            <w:vAlign w:val="bottom"/>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tcPr>
          <w:p>
            <w:pPr>
              <w:spacing w:after="0"/>
              <w:rPr>
                <w:sz w:val="17"/>
                <w:szCs w:val="17"/>
                <w:color w:val="auto"/>
              </w:rPr>
            </w:pP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Right-of-use assets recognized in exchange for lease liabilities</w:t>
            </w:r>
          </w:p>
        </w:tc>
        <w:tc>
          <w:tcPr>
            <w:tcW w:w="960" w:type="dxa"/>
            <w:vAlign w:val="bottom"/>
            <w:tcBorders>
              <w:bottom w:val="single" w:sz="8" w:color="auto"/>
            </w:tcBorders>
            <w:shd w:val="clear" w:color="auto" w:fill="CFF0FC"/>
          </w:tcPr>
          <w:p>
            <w:pPr>
              <w:jc w:val="right"/>
              <w:ind w:right="774"/>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7640" w:type="dxa"/>
            <w:vAlign w:val="bottom"/>
          </w:tcPr>
          <w:p>
            <w:pPr>
              <w:ind w:left="200"/>
              <w:spacing w:after="0" w:line="142" w:lineRule="exact"/>
              <w:rPr>
                <w:sz w:val="20"/>
                <w:szCs w:val="20"/>
                <w:color w:val="auto"/>
              </w:rPr>
            </w:pPr>
            <w:r>
              <w:rPr>
                <w:rFonts w:ascii="Arial" w:cs="Arial" w:eastAsia="Arial" w:hAnsi="Arial"/>
                <w:sz w:val="16"/>
                <w:szCs w:val="16"/>
                <w:color w:val="auto"/>
              </w:rPr>
              <w:t>Conversion of Series A redeemable convertible preferred stock to</w:t>
            </w:r>
          </w:p>
        </w:tc>
        <w:tc>
          <w:tcPr>
            <w:tcW w:w="960" w:type="dxa"/>
            <w:vAlign w:val="bottom"/>
            <w:vMerge w:val="restart"/>
          </w:tcPr>
          <w:p>
            <w:pPr>
              <w:jc w:val="right"/>
              <w:ind w:right="774"/>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40"/>
              <w:spacing w:after="0" w:line="156" w:lineRule="exact"/>
              <w:rPr>
                <w:sz w:val="20"/>
                <w:szCs w:val="20"/>
                <w:color w:val="auto"/>
              </w:rPr>
            </w:pPr>
            <w:r>
              <w:rPr>
                <w:rFonts w:ascii="Arial" w:cs="Arial" w:eastAsia="Arial" w:hAnsi="Arial"/>
                <w:sz w:val="18"/>
                <w:szCs w:val="18"/>
                <w:color w:val="auto"/>
              </w:rPr>
              <w:t>common stock upon initial public offering</w:t>
            </w:r>
          </w:p>
        </w:tc>
        <w:tc>
          <w:tcPr>
            <w:tcW w:w="9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shd w:val="clear" w:color="auto" w:fill="CFF0FC"/>
          </w:tcPr>
          <w:p>
            <w:pPr>
              <w:ind w:left="200"/>
              <w:spacing w:after="0" w:line="142" w:lineRule="exact"/>
              <w:rPr>
                <w:sz w:val="20"/>
                <w:szCs w:val="20"/>
                <w:color w:val="auto"/>
              </w:rPr>
            </w:pPr>
            <w:r>
              <w:rPr>
                <w:rFonts w:ascii="Arial" w:cs="Arial" w:eastAsia="Arial" w:hAnsi="Arial"/>
                <w:sz w:val="16"/>
                <w:szCs w:val="16"/>
                <w:color w:val="auto"/>
              </w:rPr>
              <w:t>Conversion of Series B redeemable convertible preferred stock to</w:t>
            </w:r>
          </w:p>
        </w:tc>
        <w:tc>
          <w:tcPr>
            <w:tcW w:w="960" w:type="dxa"/>
            <w:vAlign w:val="bottom"/>
            <w:vMerge w:val="restart"/>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FF0FC"/>
          </w:tcPr>
          <w:p>
            <w:pPr>
              <w:spacing w:after="0"/>
              <w:rPr>
                <w:sz w:val="12"/>
                <w:szCs w:val="12"/>
                <w:color w:val="auto"/>
              </w:rPr>
            </w:pPr>
          </w:p>
        </w:tc>
        <w:tc>
          <w:tcPr>
            <w:tcW w:w="660" w:type="dxa"/>
            <w:vAlign w:val="bottom"/>
            <w:vMerge w:val="restart"/>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87,633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640" w:type="dxa"/>
            <w:vAlign w:val="bottom"/>
            <w:tcBorders>
              <w:bottom w:val="single" w:sz="8" w:color="CFF0FC"/>
            </w:tcBorders>
            <w:shd w:val="clear" w:color="auto" w:fill="CFF0FC"/>
          </w:tcPr>
          <w:p>
            <w:pPr>
              <w:ind w:left="340"/>
              <w:spacing w:after="0" w:line="156" w:lineRule="exact"/>
              <w:rPr>
                <w:sz w:val="20"/>
                <w:szCs w:val="20"/>
                <w:color w:val="auto"/>
              </w:rPr>
            </w:pPr>
            <w:r>
              <w:rPr>
                <w:rFonts w:ascii="Arial" w:cs="Arial" w:eastAsia="Arial" w:hAnsi="Arial"/>
                <w:sz w:val="18"/>
                <w:szCs w:val="18"/>
                <w:color w:val="auto"/>
              </w:rPr>
              <w:t>common stock upon initial public offering</w:t>
            </w: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-3699510</wp:posOffset>
            </wp:positionV>
            <wp:extent cx="603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-3699510</wp:posOffset>
            </wp:positionV>
            <wp:extent cx="5969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-3168015</wp:posOffset>
            </wp:positionV>
            <wp:extent cx="603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-3168015</wp:posOffset>
            </wp:positionV>
            <wp:extent cx="5969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-1633855</wp:posOffset>
            </wp:positionV>
            <wp:extent cx="6032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-1633855</wp:posOffset>
            </wp:positionV>
            <wp:extent cx="5969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-1367790</wp:posOffset>
            </wp:positionV>
            <wp:extent cx="6032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-1367790</wp:posOffset>
            </wp:positionV>
            <wp:extent cx="5969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-793750</wp:posOffset>
            </wp:positionV>
            <wp:extent cx="6032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-793750</wp:posOffset>
            </wp:positionV>
            <wp:extent cx="5969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-505460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-488315</wp:posOffset>
            </wp:positionV>
            <wp:extent cx="603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-505460</wp:posOffset>
            </wp:positionV>
            <wp:extent cx="59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2" w:lineRule="exact"/>
        <w:rPr>
          <w:sz w:val="20"/>
          <w:szCs w:val="20"/>
          <w:color w:val="auto"/>
        </w:rPr>
      </w:pPr>
    </w:p>
    <w:p>
      <w:pPr>
        <w:ind w:right="8160" w:firstLine="8"/>
        <w:spacing w:after="0" w:line="362" w:lineRule="auto"/>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to offer markedly improved disease control and reduce steroid burden for patients suffering from classic congenital adrenal hyperplasia (CAH) and polycystic ovary syndrome (PCOS). The Company is located in Daly City, California and was incorporated in the state of Delaware in April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0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In October 2020, the Company consummated its IPO and issued a total of 6,900,000 shares of common stock, which includes 900,000 shares issued pursuant to the exercise of the underwriters’ option to purchase additional shares, at an offering price of $15.00 per share. In aggregate, the Company received net proceeds of $93.4 million, after deducting underwriting discounts and commissions and offering expenses. Upon the closing of the IPO, all outstanding shares of the Company’s redeemable convertible preferred stock automatically converted into 15,492,019 shares of common stock.</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As of December 31, 2021, the Company had cash, cash equivalents and investments of $121.4 million, which is sufficient to fund its planned operations for a period of at least twelve months following the issuance of the accompanying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incurred significant losses and negative cash flows from operations. During the year ended December 31, 2021,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incurred a net loss of $42.3 million and used $35.9 million of cash in operations. As of December 31, 2021, the Company had an accumulated deficit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$103.1 million and does not expect positive cash flows from operations in the foreseeable future. The Company has funded its operations primarily through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issuance and sale of redeemable convertible preferred stock, debt, and the IPO. In February 2020, the Company issued and sold 36,666,665 shares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Series B redeemable convertible preferred stock (Series B preferred stock) for approximately $43.6 million in net proceeds. In August 2020,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issued and sold an additional 36,666,665 shares of Series B preferred stock for approximately $44.0 million in net proceeds.</w:t>
      </w:r>
    </w:p>
    <w:p>
      <w:pPr>
        <w:spacing w:after="0" w:line="19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285" w:lineRule="exact"/>
        <w:rPr>
          <w:sz w:val="20"/>
          <w:szCs w:val="20"/>
          <w:color w:val="auto"/>
        </w:rPr>
      </w:pPr>
    </w:p>
    <w:p>
      <w:pPr>
        <w:ind w:right="7660" w:firstLine="8"/>
        <w:spacing w:after="0" w:line="362" w:lineRule="auto"/>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320" w:firstLine="509"/>
        <w:spacing w:after="0" w:line="324" w:lineRule="auto"/>
        <w:rPr>
          <w:sz w:val="20"/>
          <w:szCs w:val="20"/>
          <w:color w:val="auto"/>
        </w:rPr>
      </w:pPr>
      <w:r>
        <w:rPr>
          <w:rFonts w:ascii="Arial" w:cs="Arial" w:eastAsia="Arial" w:hAnsi="Arial"/>
          <w:sz w:val="16"/>
          <w:szCs w:val="16"/>
          <w:color w:val="auto"/>
        </w:rPr>
        <w:t>The financial statements and accompanying notes have been prepared in accordance with generally accepted accounting principles in the United States (U.S. GAAP) and include all adjustments necessary for the fair presentation of the Company’s financial position for the periods presented.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valuation of warrants and income tax and uncertain tax positions. The Company bases its estimates on its historical experience and on assumptions that it believes are reasonable; however, actual results could significantly differ from those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18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172"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Company’s business has been and could continue to be adversely affected by the evolving COVID-19 pandemic. For example, the COVID-19 pandemic has resulted in and could result in further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The Company will continue to evaluate the impact that these events could have on its future operations, financial position, and results of operations and cash flows.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operates and manages its business as one operating segment, which is the business of developing and commercializing novel therapies for rare endocrine disorders with significant unmet medical need.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 Cash equivalents consist of amounts invested in money market funds.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December 31, 2021 based on the terms of the lease agreement, which expires in 2025, unless extended.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42,748</w:t>
            </w: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157,150</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8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800" w:type="dxa"/>
            <w:vAlign w:val="bottom"/>
            <w:tcBorders>
              <w:bottom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42,964</w:t>
            </w: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157,366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43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8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3"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03" w:lineRule="exact"/>
        <w:rPr>
          <w:rFonts w:ascii="Arial" w:cs="Arial" w:eastAsia="Arial" w:hAnsi="Arial"/>
          <w:sz w:val="18"/>
          <w:szCs w:val="18"/>
          <w:color w:val="auto"/>
        </w:rPr>
      </w:pPr>
    </w:p>
    <w:p>
      <w:pPr>
        <w:ind w:left="1020" w:right="340" w:hanging="503"/>
        <w:spacing w:after="0" w:line="24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estimated interest rates currently available to the Company for debt with similar terms.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0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Property and equipment are stated at cost less accumulated depreciation. Depreciation expense is calculated using the straight-line method over the estimated useful life of the respective asset and begins at the time the asset is placed into service. Maintenance and repairs are charged to expense as incurred, and improvements are capitalized.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property and equipment are as follows:</w:t>
      </w:r>
    </w:p>
    <w:p>
      <w:pPr>
        <w:sectPr>
          <w:pgSz w:w="11900" w:h="16838" w:orient="portrait"/>
          <w:cols w:equalWidth="0" w:num="1">
            <w:col w:w="11160"/>
          </w:cols>
          <w:pgMar w:left="320" w:top="125" w:right="419" w:bottom="1440" w:gutter="0" w:footer="0" w:header="0"/>
        </w:sectPr>
      </w:pPr>
    </w:p>
    <w:p>
      <w:pPr>
        <w:spacing w:after="0" w:line="18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Computer and office equipment</w:t>
      </w:r>
    </w:p>
    <w:p>
      <w:pPr>
        <w:ind w:left="860"/>
        <w:spacing w:after="0" w:line="219" w:lineRule="auto"/>
        <w:rPr>
          <w:sz w:val="20"/>
          <w:szCs w:val="20"/>
          <w:color w:val="auto"/>
        </w:rPr>
      </w:pPr>
      <w:r>
        <w:rPr>
          <w:rFonts w:ascii="Arial" w:cs="Arial" w:eastAsia="Arial" w:hAnsi="Arial"/>
          <w:sz w:val="18"/>
          <w:szCs w:val="18"/>
          <w:color w:val="auto"/>
        </w:rPr>
        <w:t>Computer software</w:t>
      </w:r>
    </w:p>
    <w:p>
      <w:pPr>
        <w:ind w:left="860"/>
        <w:spacing w:after="0"/>
        <w:rPr>
          <w:sz w:val="20"/>
          <w:szCs w:val="20"/>
          <w:color w:val="auto"/>
        </w:rPr>
      </w:pPr>
      <w:r>
        <w:rPr>
          <w:rFonts w:ascii="Arial" w:cs="Arial" w:eastAsia="Arial" w:hAnsi="Arial"/>
          <w:sz w:val="16"/>
          <w:szCs w:val="16"/>
          <w:color w:val="auto"/>
        </w:rPr>
        <w:t>Manufacturing machinery and equipment</w:t>
      </w:r>
    </w:p>
    <w:p>
      <w:pPr>
        <w:ind w:left="860"/>
        <w:spacing w:after="0" w:line="224" w:lineRule="auto"/>
        <w:rPr>
          <w:sz w:val="20"/>
          <w:szCs w:val="20"/>
          <w:color w:val="auto"/>
        </w:rPr>
      </w:pPr>
      <w:r>
        <w:rPr>
          <w:rFonts w:ascii="Arial" w:cs="Arial" w:eastAsia="Arial" w:hAnsi="Arial"/>
          <w:sz w:val="18"/>
          <w:szCs w:val="18"/>
          <w:color w:val="auto"/>
        </w:rPr>
        <w:t>Leasehold improvements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19" w:lineRule="auto"/>
        <w:rPr>
          <w:sz w:val="20"/>
          <w:szCs w:val="20"/>
          <w:color w:val="auto"/>
        </w:rPr>
      </w:pPr>
      <w:r>
        <w:rPr>
          <w:rFonts w:ascii="Arial" w:cs="Arial" w:eastAsia="Arial" w:hAnsi="Arial"/>
          <w:sz w:val="18"/>
          <w:szCs w:val="18"/>
          <w:color w:val="auto"/>
        </w:rPr>
        <w:t>3 years</w:t>
      </w:r>
    </w:p>
    <w:p>
      <w:pPr>
        <w:spacing w:after="0" w:line="219" w:lineRule="auto"/>
        <w:rPr>
          <w:sz w:val="20"/>
          <w:szCs w:val="20"/>
          <w:color w:val="auto"/>
        </w:rPr>
      </w:pPr>
      <w:r>
        <w:rPr>
          <w:rFonts w:ascii="Arial" w:cs="Arial" w:eastAsia="Arial" w:hAnsi="Arial"/>
          <w:sz w:val="18"/>
          <w:szCs w:val="18"/>
          <w:color w:val="auto"/>
        </w:rPr>
        <w:t>7 years</w:t>
      </w:r>
    </w:p>
    <w:p>
      <w:pPr>
        <w:spacing w:after="0"/>
        <w:rPr>
          <w:sz w:val="20"/>
          <w:szCs w:val="20"/>
          <w:color w:val="auto"/>
        </w:rPr>
      </w:pPr>
      <w:r>
        <w:rPr>
          <w:rFonts w:ascii="Arial" w:cs="Arial" w:eastAsia="Arial" w:hAnsi="Arial"/>
          <w:sz w:val="16"/>
          <w:szCs w:val="16"/>
          <w:color w:val="auto"/>
        </w:rPr>
        <w:t>Lesser of lease term or 15 years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5420" w:space="720"/>
            <w:col w:w="5020"/>
          </w:cols>
          <w:pgMar w:left="320" w:top="125" w:right="41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0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 The Company has not experienced any losses in such accounts and management believes that the Company is not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exposed to significant credit risk due to the financial position of the depository institutions in which those deposits are held.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adopted Accounting Standards Update (ASU), No. 2016-02, Leases (Topic 842) effective January 1, 2020.</w:t>
      </w:r>
    </w:p>
    <w:p>
      <w:pPr>
        <w:spacing w:after="0" w:line="21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and excludes lease incentives.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minimum lease payments is recognized on a straight-line basis over the non-cancelable lease term. 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See Note 5 to these financial statements for additional detail.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Research and development costs are expensed as incurred. Research and development expenses include, but are not limited to,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0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17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189"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In general, deferred tax assets represent future tax benefits to be received when certain expenses previously recognized in the Company’s statements of operations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6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the forecast of future taxable income and on-going prudent and feasible tax planning initiatives. Based upon the weight of available evidence, the Company has determined that net deferred tax assets should be fully offset by a valuation allowance. When the Company establishes or reduces the valuation allowance against its net deferred tax assets, its provision for income taxes will increase or decrease, respectively, in the period such determination is made. As of December 31, 2021 and 2020, the Company maintains a full valuation allowance on its net deferred tax assets.</w:t>
      </w:r>
    </w:p>
    <w:p>
      <w:pPr>
        <w:spacing w:after="0" w:line="19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unrecognized tax benefits.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The Company has an equity incentive plan under which various types of equity-based awards including, but not limited to, incentive stock options, non-qualified stock options, and restricted stock units, may be granted to employees, non-employee directors, and non-employee consultants.</w:t>
      </w:r>
    </w:p>
    <w:p>
      <w:pPr>
        <w:spacing w:after="0" w:line="12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For equity awards granted to employees, non-employees, and directors, the Company recognizes compensation expense based on the estimated grant-date fair values.</w:t>
      </w:r>
    </w:p>
    <w:p>
      <w:pPr>
        <w:spacing w:after="0" w:line="171"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The fair value of stock options and shares purchased under the Company’s employee stock purchase plan is determined using the Black-Scholes option pricing model. The Company recognizes compensation expense for stock options on a straight-line basis over the requisite service period of the award, which is typically four years.</w:t>
      </w:r>
    </w:p>
    <w:p>
      <w:pPr>
        <w:spacing w:after="0" w:line="182"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The fair value of restricted stock units (RSUs), including RSUs subject to performance-based vesting conditions, is based on the grant-date fair value of the Company's stock price. The Company recognizes compensation expense for time-based RSUs over the requisite service period, which is generally the vesting period of the award.</w:t>
      </w:r>
    </w:p>
    <w:p>
      <w:pPr>
        <w:spacing w:after="0" w:line="182"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For options and restricted stock that vest upon the satisfaction of certain performance conditions, the Company recognizes compensation expense when it becomes probable that the performance conditions will be met. When the criteria are deemed probable of being met, the Company records cumulative compensation expense in the period the performance criteria are deemed probable of being met and recognizes the remaining compensation expense on a straight-line basis over the remaining period for which the performance criteria are expected to be completed.</w:t>
      </w:r>
    </w:p>
    <w:p>
      <w:pPr>
        <w:spacing w:after="0" w:line="15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Company’s determination of the fair value of stock options on the date of grant utilizes the Black-Scholes option-pricing model and is impacted by its common stock price as well as other variables including, but not limited to, expected term that options will remain outstanding, expected common stock price volatility over the term of the option awards, risk-free interest rates and expected dividends.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outstanding stock options, RSUs, and shares expected to be issued pursuant to the employee stock purchase plan are considered to be potentially dilutive securities. Because the Company has reported a net loss for all periods presented, diluted net loss per share is the same as basic net loss per share for those periods.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jc w:val="both"/>
        <w:ind w:right="300" w:firstLine="509"/>
        <w:spacing w:after="0" w:line="284"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0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Measurement of Credit Losses on Financial Instruments (Topic 326):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ind w:right="240" w:firstLine="509"/>
        <w:spacing w:after="0" w:line="259" w:lineRule="auto"/>
        <w:rPr>
          <w:sz w:val="20"/>
          <w:szCs w:val="20"/>
          <w:color w:val="auto"/>
        </w:rPr>
      </w:pPr>
      <w:r>
        <w:rPr>
          <w:rFonts w:ascii="Arial" w:cs="Arial" w:eastAsia="Arial" w:hAnsi="Arial"/>
          <w:sz w:val="17"/>
          <w:szCs w:val="17"/>
          <w:color w:val="auto"/>
        </w:rPr>
        <w:t xml:space="preserve">In December 2019, the FASB issued ASU 2019-12, Income Taxes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adopted on January 1, 2021. The adoption did not have any impact on the Company's financial statements for the year ended December 31, 2021.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amounts invested in money market funds and are stated at fair value.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Investments comprise U.S. treasury securities, commercial paper, and corporate bonds, which are classified as available for sale securities.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is a summary of amortized cost, unrealized gains and losses, and fair value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December 31, 2021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3"/>
              </w:rPr>
              <w:t>Amortized Cost</w:t>
            </w:r>
          </w:p>
        </w:tc>
        <w:tc>
          <w:tcPr>
            <w:tcW w:w="160" w:type="dxa"/>
            <w:vAlign w:val="bottom"/>
          </w:tcPr>
          <w:p>
            <w:pPr>
              <w:spacing w:after="0"/>
              <w:rPr>
                <w:sz w:val="13"/>
                <w:szCs w:val="13"/>
                <w:color w:val="auto"/>
              </w:rPr>
            </w:pPr>
          </w:p>
        </w:tc>
        <w:tc>
          <w:tcPr>
            <w:tcW w:w="14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w w:val="94"/>
              </w:rPr>
              <w:t>Gross Unrealized</w:t>
            </w:r>
          </w:p>
        </w:tc>
        <w:tc>
          <w:tcPr>
            <w:tcW w:w="100" w:type="dxa"/>
            <w:vAlign w:val="bottom"/>
          </w:tcPr>
          <w:p>
            <w:pPr>
              <w:spacing w:after="0"/>
              <w:rPr>
                <w:sz w:val="13"/>
                <w:szCs w:val="13"/>
                <w:color w:val="auto"/>
              </w:rPr>
            </w:pPr>
          </w:p>
        </w:tc>
        <w:tc>
          <w:tcPr>
            <w:tcW w:w="160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13"/>
                <w:szCs w:val="13"/>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Gains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86"/>
              </w:rPr>
              <w:t>Losses</w:t>
            </w: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38,067</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CFF0FC"/>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196"/>
        </w:trPr>
        <w:tc>
          <w:tcPr>
            <w:tcW w:w="3260" w:type="dxa"/>
            <w:vAlign w:val="bottom"/>
          </w:tcPr>
          <w:p>
            <w:pPr>
              <w:ind w:left="180"/>
              <w:spacing w:after="0" w:line="196" w:lineRule="exact"/>
              <w:rPr>
                <w:sz w:val="20"/>
                <w:szCs w:val="20"/>
                <w:color w:val="auto"/>
              </w:rPr>
            </w:pPr>
            <w:r>
              <w:rPr>
                <w:rFonts w:ascii="Arial" w:cs="Arial" w:eastAsia="Arial" w:hAnsi="Arial"/>
                <w:sz w:val="18"/>
                <w:szCs w:val="18"/>
                <w:color w:val="auto"/>
              </w:rPr>
              <w:t>Total cash equivalents</w:t>
            </w:r>
          </w:p>
        </w:tc>
        <w:tc>
          <w:tcPr>
            <w:tcW w:w="4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38,067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4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33,973</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right w:val="single" w:sz="8" w:color="CFF0FC"/>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6,285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(23 )</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treasury securities</w:t>
            </w: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(13 )</w:t>
            </w:r>
          </w:p>
        </w:tc>
        <w:tc>
          <w:tcPr>
            <w:tcW w:w="10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Pr>
          <w:p>
            <w:pPr>
              <w:ind w:left="180"/>
              <w:spacing w:after="0" w:line="196" w:lineRule="exact"/>
              <w:rPr>
                <w:sz w:val="20"/>
                <w:szCs w:val="20"/>
                <w:color w:val="auto"/>
              </w:rPr>
            </w:pPr>
            <w:r>
              <w:rPr>
                <w:rFonts w:ascii="Arial" w:cs="Arial" w:eastAsia="Arial" w:hAnsi="Arial"/>
                <w:sz w:val="18"/>
                <w:szCs w:val="18"/>
                <w:color w:val="auto"/>
              </w:rPr>
              <w:t>Total short-term investments</w:t>
            </w:r>
          </w:p>
        </w:tc>
        <w:tc>
          <w:tcPr>
            <w:tcW w:w="4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46,257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(36 )</w:t>
            </w: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46,221</w:t>
            </w: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bonds</w:t>
            </w:r>
          </w:p>
        </w:tc>
        <w:tc>
          <w:tcPr>
            <w:tcW w:w="4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8,470</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right w:val="single" w:sz="8" w:color="CFF0FC"/>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24,137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w w:val="93"/>
              </w:rPr>
              <w:t>(114 )</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24,023</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long-term investments</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32,607</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right w:val="single" w:sz="8" w:color="CFF0FC"/>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32,459</w:t>
            </w:r>
          </w:p>
        </w:tc>
        <w:tc>
          <w:tcPr>
            <w:tcW w:w="0" w:type="dxa"/>
            <w:vAlign w:val="bottom"/>
          </w:tcPr>
          <w:p>
            <w:pPr>
              <w:spacing w:after="0"/>
              <w:rPr>
                <w:sz w:val="1"/>
                <w:szCs w:val="1"/>
                <w:color w:val="auto"/>
              </w:rPr>
            </w:pPr>
          </w:p>
        </w:tc>
      </w:tr>
      <w:tr>
        <w:trPr>
          <w:trHeight w:val="156"/>
        </w:trPr>
        <w:tc>
          <w:tcPr>
            <w:tcW w:w="3260" w:type="dxa"/>
            <w:vAlign w:val="bottom"/>
          </w:tcPr>
          <w:p>
            <w:pPr>
              <w:spacing w:after="0" w:line="156" w:lineRule="exact"/>
              <w:rPr>
                <w:sz w:val="20"/>
                <w:szCs w:val="20"/>
                <w:color w:val="auto"/>
              </w:rPr>
            </w:pPr>
            <w:r>
              <w:rPr>
                <w:rFonts w:ascii="Arial" w:cs="Arial" w:eastAsia="Arial" w:hAnsi="Arial"/>
                <w:sz w:val="18"/>
                <w:szCs w:val="18"/>
                <w:color w:val="auto"/>
              </w:rPr>
              <w:t>Total cash equivalents and available for</w:t>
            </w: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116,931</w:t>
            </w:r>
          </w:p>
        </w:tc>
        <w:tc>
          <w:tcPr>
            <w:tcW w:w="4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ind w:left="9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w w:val="93"/>
              </w:rPr>
              <w:t>(184 )</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116,747</w:t>
            </w:r>
          </w:p>
        </w:tc>
        <w:tc>
          <w:tcPr>
            <w:tcW w:w="0" w:type="dxa"/>
            <w:vAlign w:val="bottom"/>
          </w:tcPr>
          <w:p>
            <w:pPr>
              <w:spacing w:after="0"/>
              <w:rPr>
                <w:sz w:val="1"/>
                <w:szCs w:val="1"/>
                <w:color w:val="auto"/>
              </w:rPr>
            </w:pPr>
          </w:p>
        </w:tc>
      </w:tr>
      <w:tr>
        <w:trPr>
          <w:trHeight w:val="175"/>
        </w:trPr>
        <w:tc>
          <w:tcPr>
            <w:tcW w:w="3260" w:type="dxa"/>
            <w:vAlign w:val="bottom"/>
          </w:tcPr>
          <w:p>
            <w:pPr>
              <w:spacing w:after="0" w:line="156" w:lineRule="exact"/>
              <w:rPr>
                <w:sz w:val="20"/>
                <w:szCs w:val="20"/>
                <w:color w:val="auto"/>
              </w:rPr>
            </w:pPr>
            <w:r>
              <w:rPr>
                <w:rFonts w:ascii="Arial" w:cs="Arial" w:eastAsia="Arial" w:hAnsi="Arial"/>
                <w:sz w:val="18"/>
                <w:szCs w:val="18"/>
                <w:color w:val="auto"/>
              </w:rPr>
              <w:t>sale securities</w:t>
            </w:r>
          </w:p>
        </w:tc>
        <w:tc>
          <w:tcPr>
            <w:tcW w:w="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-1316355</wp:posOffset>
            </wp:positionV>
            <wp:extent cx="431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-1316355</wp:posOffset>
            </wp:positionV>
            <wp:extent cx="431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-1316355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-1316355</wp:posOffset>
            </wp:positionV>
            <wp:extent cx="3429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-784860</wp:posOffset>
            </wp:positionV>
            <wp:extent cx="431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-784860</wp:posOffset>
            </wp:positionV>
            <wp:extent cx="431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-784860</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-784860</wp:posOffset>
            </wp:positionV>
            <wp:extent cx="3429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-245110</wp:posOffset>
            </wp:positionV>
            <wp:extent cx="431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-245110</wp:posOffset>
            </wp:positionV>
            <wp:extent cx="431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-245110</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-245110</wp:posOffset>
            </wp:positionV>
            <wp:extent cx="3429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the weighted-average remaining contractual maturities of available for sale securities was approximately 11 months.</w:t>
      </w:r>
    </w:p>
    <w:p>
      <w:pPr>
        <w:spacing w:after="0" w:line="235"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There have been no realized gains or losses on available for sale securities for the periods presented. No available for sale securities held as of December 31, 2021 have been in a continuous unrealized loss position for more than 12 months, and unrealized gains and losses are included in “accumulated other comprehensive loss” within stockholders' equity on the condensed balance sheets. As of December 31, 2021, unrealized losses on available for sale securities are not attributed to credit risk and are considered temporary. The Company believes that it is more-likely-than-not that investments in an unrealized loss position will be held until maturity or the cost basis of the investment will be recovered. The Company believes it has no other-than-temporary impairments on its securities as it does not intend to sell these securities and does not believe it is more likely than not that it will be required to sell these securities before the recovery of their amortized cost basis. To date, the Company has not recorded any impairment charges on securities related to other-than-temporary declines in fair value. The Company’s cash equivalents and short-term investments are due within one year.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carrying value of cash and cash equivalents, prepaid expenses, accounts payable, term loan, and accrued expenses are generally considered to be representative of their respective fair values because of the short-term nature of those instruments.</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by level within the fair value hierarchy (in thousands):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00" w:type="dxa"/>
            <w:vAlign w:val="bottom"/>
            <w:tcBorders>
              <w:bottom w:val="single" w:sz="8" w:color="CFF0FF"/>
            </w:tcBorders>
            <w:gridSpan w:val="2"/>
            <w:shd w:val="clear" w:color="auto" w:fill="CFF0FF"/>
          </w:tcPr>
          <w:p>
            <w:pPr>
              <w:spacing w:after="0" w:line="196" w:lineRule="exact"/>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shd w:val="clear" w:color="auto" w:fill="CFF0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38,067</w:t>
            </w:r>
          </w:p>
        </w:tc>
        <w:tc>
          <w:tcPr>
            <w:tcW w:w="180" w:type="dxa"/>
            <w:vAlign w:val="bottom"/>
            <w:tcBorders>
              <w:bottom w:val="single" w:sz="8" w:color="CFF0FF"/>
            </w:tcBorders>
            <w:shd w:val="clear" w:color="auto" w:fill="CFF0FF"/>
          </w:tcPr>
          <w:p>
            <w:pPr>
              <w:spacing w:after="0"/>
              <w:rPr>
                <w:sz w:val="17"/>
                <w:szCs w:val="17"/>
                <w:color w:val="auto"/>
              </w:rPr>
            </w:pPr>
          </w:p>
        </w:tc>
        <w:tc>
          <w:tcPr>
            <w:tcW w:w="180" w:type="dxa"/>
            <w:vAlign w:val="bottom"/>
            <w:tcBorders>
              <w:bottom w:val="single" w:sz="8" w:color="auto"/>
            </w:tcBorders>
            <w:shd w:val="clear" w:color="auto" w:fill="CFF0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38,067</w:t>
            </w:r>
          </w:p>
        </w:tc>
        <w:tc>
          <w:tcPr>
            <w:tcW w:w="140" w:type="dxa"/>
            <w:vAlign w:val="bottom"/>
            <w:tcBorders>
              <w:bottom w:val="single" w:sz="8" w:color="CFF0FF"/>
            </w:tcBorders>
            <w:shd w:val="clear" w:color="auto" w:fill="CFF0FF"/>
          </w:tcPr>
          <w:p>
            <w:pPr>
              <w:spacing w:after="0"/>
              <w:rPr>
                <w:sz w:val="17"/>
                <w:szCs w:val="17"/>
                <w:color w:val="auto"/>
              </w:rPr>
            </w:pPr>
          </w:p>
        </w:tc>
        <w:tc>
          <w:tcPr>
            <w:tcW w:w="200" w:type="dxa"/>
            <w:vAlign w:val="bottom"/>
            <w:tcBorders>
              <w:bottom w:val="single" w:sz="8" w:color="auto"/>
            </w:tcBorders>
            <w:shd w:val="clear" w:color="auto" w:fill="CFF0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F"/>
            </w:tcBorders>
            <w:shd w:val="clear" w:color="auto" w:fill="CFF0FF"/>
          </w:tcPr>
          <w:p>
            <w:pPr>
              <w:spacing w:after="0"/>
              <w:rPr>
                <w:sz w:val="17"/>
                <w:szCs w:val="17"/>
                <w:color w:val="auto"/>
              </w:rPr>
            </w:pPr>
          </w:p>
        </w:tc>
        <w:tc>
          <w:tcPr>
            <w:tcW w:w="160" w:type="dxa"/>
            <w:vAlign w:val="bottom"/>
            <w:tcBorders>
              <w:bottom w:val="single" w:sz="8" w:color="auto"/>
            </w:tcBorders>
            <w:shd w:val="clear" w:color="auto" w:fill="CFF0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F"/>
            </w:tcBorders>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Pr>
          <w:p>
            <w:pPr>
              <w:ind w:left="80"/>
              <w:spacing w:after="0" w:line="196" w:lineRule="exact"/>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38,067</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38,067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00" w:type="dxa"/>
            <w:vAlign w:val="bottom"/>
            <w:gridSpan w:val="2"/>
            <w:shd w:val="clear" w:color="auto" w:fill="CFF0FF"/>
          </w:tcPr>
          <w:p>
            <w:pPr>
              <w:spacing w:after="0" w:line="196" w:lineRule="exact"/>
              <w:rPr>
                <w:sz w:val="20"/>
                <w:szCs w:val="20"/>
                <w:color w:val="auto"/>
              </w:rPr>
            </w:pPr>
            <w:r>
              <w:rPr>
                <w:rFonts w:ascii="Arial" w:cs="Arial" w:eastAsia="Arial" w:hAnsi="Arial"/>
                <w:sz w:val="18"/>
                <w:szCs w:val="18"/>
                <w:color w:val="auto"/>
              </w:rPr>
              <w:t>Commercial paper</w:t>
            </w:r>
          </w:p>
        </w:tc>
        <w:tc>
          <w:tcPr>
            <w:tcW w:w="260" w:type="dxa"/>
            <w:vAlign w:val="bottom"/>
            <w:shd w:val="clear" w:color="auto" w:fill="CFF0FF"/>
          </w:tcPr>
          <w:p>
            <w:pPr>
              <w:spacing w:after="0"/>
              <w:rPr>
                <w:sz w:val="17"/>
                <w:szCs w:val="17"/>
                <w:color w:val="auto"/>
              </w:rPr>
            </w:pPr>
          </w:p>
        </w:tc>
        <w:tc>
          <w:tcPr>
            <w:tcW w:w="98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33,973</w:t>
            </w:r>
          </w:p>
        </w:tc>
        <w:tc>
          <w:tcPr>
            <w:tcW w:w="180" w:type="dxa"/>
            <w:vAlign w:val="bottom"/>
            <w:shd w:val="clear" w:color="auto" w:fill="CFF0FF"/>
          </w:tcPr>
          <w:p>
            <w:pPr>
              <w:spacing w:after="0"/>
              <w:rPr>
                <w:sz w:val="17"/>
                <w:szCs w:val="17"/>
                <w:color w:val="auto"/>
              </w:rPr>
            </w:pPr>
          </w:p>
        </w:tc>
        <w:tc>
          <w:tcPr>
            <w:tcW w:w="180" w:type="dxa"/>
            <w:vAlign w:val="bottom"/>
            <w:shd w:val="clear" w:color="auto" w:fill="CFF0FF"/>
          </w:tcPr>
          <w:p>
            <w:pPr>
              <w:spacing w:after="0"/>
              <w:rPr>
                <w:sz w:val="17"/>
                <w:szCs w:val="17"/>
                <w:color w:val="auto"/>
              </w:rPr>
            </w:pPr>
          </w:p>
        </w:tc>
        <w:tc>
          <w:tcPr>
            <w:tcW w:w="98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F"/>
          </w:tcPr>
          <w:p>
            <w:pPr>
              <w:spacing w:after="0"/>
              <w:rPr>
                <w:sz w:val="17"/>
                <w:szCs w:val="17"/>
                <w:color w:val="auto"/>
              </w:rPr>
            </w:pPr>
          </w:p>
        </w:tc>
        <w:tc>
          <w:tcPr>
            <w:tcW w:w="200" w:type="dxa"/>
            <w:vAlign w:val="bottom"/>
            <w:shd w:val="clear" w:color="auto" w:fill="CFF0FF"/>
          </w:tcPr>
          <w:p>
            <w:pPr>
              <w:spacing w:after="0"/>
              <w:rPr>
                <w:sz w:val="17"/>
                <w:szCs w:val="17"/>
                <w:color w:val="auto"/>
              </w:rPr>
            </w:pPr>
          </w:p>
        </w:tc>
        <w:tc>
          <w:tcPr>
            <w:tcW w:w="96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33,973</w:t>
            </w:r>
          </w:p>
        </w:tc>
        <w:tc>
          <w:tcPr>
            <w:tcW w:w="16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2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6,262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6,262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00" w:type="dxa"/>
            <w:vAlign w:val="bottom"/>
            <w:tcBorders>
              <w:bottom w:val="single" w:sz="8" w:color="CFF0FF"/>
            </w:tcBorders>
            <w:gridSpan w:val="2"/>
            <w:shd w:val="clear" w:color="auto" w:fill="CFF0FF"/>
          </w:tcPr>
          <w:p>
            <w:pPr>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shd w:val="clear" w:color="auto" w:fill="CFF0FF"/>
          </w:tcPr>
          <w:p>
            <w:pPr>
              <w:spacing w:after="0"/>
              <w:rPr>
                <w:sz w:val="17"/>
                <w:szCs w:val="17"/>
                <w:color w:val="auto"/>
              </w:rPr>
            </w:pPr>
          </w:p>
        </w:tc>
        <w:tc>
          <w:tcPr>
            <w:tcW w:w="980" w:type="dxa"/>
            <w:vAlign w:val="bottom"/>
            <w:tcBorders>
              <w:bottom w:val="single" w:sz="8" w:color="auto"/>
            </w:tcBorders>
            <w:shd w:val="clear" w:color="auto" w:fill="CFF0FF"/>
          </w:tcPr>
          <w:p>
            <w:pPr>
              <w:jc w:val="right"/>
              <w:spacing w:after="0" w:line="202" w:lineRule="exact"/>
              <w:rPr>
                <w:sz w:val="20"/>
                <w:szCs w:val="20"/>
                <w:color w:val="auto"/>
              </w:rPr>
            </w:pPr>
            <w:r>
              <w:rPr>
                <w:rFonts w:ascii="Arial" w:cs="Arial" w:eastAsia="Arial" w:hAnsi="Arial"/>
                <w:sz w:val="18"/>
                <w:szCs w:val="18"/>
                <w:color w:val="auto"/>
              </w:rPr>
              <w:t>5,986</w:t>
            </w:r>
          </w:p>
        </w:tc>
        <w:tc>
          <w:tcPr>
            <w:tcW w:w="180" w:type="dxa"/>
            <w:vAlign w:val="bottom"/>
            <w:tcBorders>
              <w:bottom w:val="single" w:sz="8" w:color="CFF0FF"/>
            </w:tcBorders>
            <w:shd w:val="clear" w:color="auto" w:fill="CFF0FF"/>
          </w:tcPr>
          <w:p>
            <w:pPr>
              <w:spacing w:after="0"/>
              <w:rPr>
                <w:sz w:val="17"/>
                <w:szCs w:val="17"/>
                <w:color w:val="auto"/>
              </w:rPr>
            </w:pPr>
          </w:p>
        </w:tc>
        <w:tc>
          <w:tcPr>
            <w:tcW w:w="180" w:type="dxa"/>
            <w:vAlign w:val="bottom"/>
            <w:tcBorders>
              <w:bottom w:val="single" w:sz="8" w:color="auto"/>
            </w:tcBorders>
            <w:shd w:val="clear" w:color="auto" w:fill="CFF0FF"/>
          </w:tcPr>
          <w:p>
            <w:pPr>
              <w:spacing w:after="0"/>
              <w:rPr>
                <w:sz w:val="17"/>
                <w:szCs w:val="17"/>
                <w:color w:val="auto"/>
              </w:rPr>
            </w:pPr>
          </w:p>
        </w:tc>
        <w:tc>
          <w:tcPr>
            <w:tcW w:w="980" w:type="dxa"/>
            <w:vAlign w:val="bottom"/>
            <w:tcBorders>
              <w:bottom w:val="single" w:sz="8" w:color="auto"/>
            </w:tcBorders>
            <w:shd w:val="clear" w:color="auto" w:fill="CFF0FF"/>
          </w:tcPr>
          <w:p>
            <w:pPr>
              <w:jc w:val="right"/>
              <w:spacing w:after="0" w:line="202" w:lineRule="exact"/>
              <w:rPr>
                <w:sz w:val="20"/>
                <w:szCs w:val="20"/>
                <w:color w:val="auto"/>
              </w:rPr>
            </w:pPr>
            <w:r>
              <w:rPr>
                <w:rFonts w:ascii="Arial" w:cs="Arial" w:eastAsia="Arial" w:hAnsi="Arial"/>
                <w:sz w:val="18"/>
                <w:szCs w:val="18"/>
                <w:color w:val="auto"/>
              </w:rPr>
              <w:t>5,986</w:t>
            </w:r>
          </w:p>
        </w:tc>
        <w:tc>
          <w:tcPr>
            <w:tcW w:w="140" w:type="dxa"/>
            <w:vAlign w:val="bottom"/>
            <w:tcBorders>
              <w:bottom w:val="single" w:sz="8" w:color="CFF0FF"/>
            </w:tcBorders>
            <w:shd w:val="clear" w:color="auto" w:fill="CFF0FF"/>
          </w:tcPr>
          <w:p>
            <w:pPr>
              <w:spacing w:after="0"/>
              <w:rPr>
                <w:sz w:val="17"/>
                <w:szCs w:val="17"/>
                <w:color w:val="auto"/>
              </w:rPr>
            </w:pPr>
          </w:p>
        </w:tc>
        <w:tc>
          <w:tcPr>
            <w:tcW w:w="200" w:type="dxa"/>
            <w:vAlign w:val="bottom"/>
            <w:tcBorders>
              <w:bottom w:val="single" w:sz="8" w:color="auto"/>
            </w:tcBorders>
            <w:shd w:val="clear" w:color="auto" w:fill="CFF0FF"/>
          </w:tcPr>
          <w:p>
            <w:pPr>
              <w:spacing w:after="0"/>
              <w:rPr>
                <w:sz w:val="17"/>
                <w:szCs w:val="17"/>
                <w:color w:val="auto"/>
              </w:rPr>
            </w:pPr>
          </w:p>
        </w:tc>
        <w:tc>
          <w:tcPr>
            <w:tcW w:w="960" w:type="dxa"/>
            <w:vAlign w:val="bottom"/>
            <w:tcBorders>
              <w:bottom w:val="single" w:sz="8" w:color="auto"/>
            </w:tcBorders>
            <w:shd w:val="clear" w:color="auto" w:fill="CFF0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F"/>
            </w:tcBorders>
            <w:shd w:val="clear" w:color="auto" w:fill="CFF0FF"/>
          </w:tcPr>
          <w:p>
            <w:pPr>
              <w:spacing w:after="0"/>
              <w:rPr>
                <w:sz w:val="17"/>
                <w:szCs w:val="17"/>
                <w:color w:val="auto"/>
              </w:rPr>
            </w:pPr>
          </w:p>
        </w:tc>
        <w:tc>
          <w:tcPr>
            <w:tcW w:w="160" w:type="dxa"/>
            <w:vAlign w:val="bottom"/>
            <w:tcBorders>
              <w:bottom w:val="single" w:sz="8" w:color="auto"/>
            </w:tcBorders>
            <w:shd w:val="clear" w:color="auto" w:fill="CFF0FF"/>
          </w:tcPr>
          <w:p>
            <w:pPr>
              <w:spacing w:after="0"/>
              <w:rPr>
                <w:sz w:val="17"/>
                <w:szCs w:val="17"/>
                <w:color w:val="auto"/>
              </w:rPr>
            </w:pPr>
          </w:p>
        </w:tc>
        <w:tc>
          <w:tcPr>
            <w:tcW w:w="920" w:type="dxa"/>
            <w:vAlign w:val="bottom"/>
            <w:tcBorders>
              <w:bottom w:val="single" w:sz="8" w:color="auto"/>
            </w:tcBorders>
            <w:shd w:val="clear" w:color="auto" w:fill="CFF0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F"/>
            </w:tcBorders>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Pr>
          <w:p>
            <w:pPr>
              <w:ind w:left="80"/>
              <w:spacing w:after="0" w:line="196" w:lineRule="exact"/>
              <w:rPr>
                <w:sz w:val="20"/>
                <w:szCs w:val="20"/>
                <w:color w:val="auto"/>
              </w:rPr>
            </w:pPr>
            <w:r>
              <w:rPr>
                <w:rFonts w:ascii="Arial" w:cs="Arial" w:eastAsia="Arial" w:hAnsi="Arial"/>
                <w:sz w:val="18"/>
                <w:szCs w:val="18"/>
                <w:color w:val="auto"/>
              </w:rPr>
              <w:t>Total short-term investments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46,221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12,248</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33,973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00" w:type="dxa"/>
            <w:vAlign w:val="bottom"/>
            <w:gridSpan w:val="2"/>
            <w:shd w:val="clear" w:color="auto" w:fill="CFF0FF"/>
          </w:tcPr>
          <w:p>
            <w:pPr>
              <w:spacing w:after="0" w:line="196" w:lineRule="exact"/>
              <w:rPr>
                <w:sz w:val="20"/>
                <w:szCs w:val="20"/>
                <w:color w:val="auto"/>
              </w:rPr>
            </w:pPr>
            <w:r>
              <w:rPr>
                <w:rFonts w:ascii="Arial" w:cs="Arial" w:eastAsia="Arial" w:hAnsi="Arial"/>
                <w:sz w:val="18"/>
                <w:szCs w:val="18"/>
                <w:color w:val="auto"/>
              </w:rPr>
              <w:t>Corporate bonds</w:t>
            </w:r>
          </w:p>
        </w:tc>
        <w:tc>
          <w:tcPr>
            <w:tcW w:w="260" w:type="dxa"/>
            <w:vAlign w:val="bottom"/>
            <w:shd w:val="clear" w:color="auto" w:fill="CFF0FF"/>
          </w:tcPr>
          <w:p>
            <w:pPr>
              <w:spacing w:after="0"/>
              <w:rPr>
                <w:sz w:val="17"/>
                <w:szCs w:val="17"/>
                <w:color w:val="auto"/>
              </w:rPr>
            </w:pPr>
          </w:p>
        </w:tc>
        <w:tc>
          <w:tcPr>
            <w:tcW w:w="98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8,436</w:t>
            </w:r>
          </w:p>
        </w:tc>
        <w:tc>
          <w:tcPr>
            <w:tcW w:w="180" w:type="dxa"/>
            <w:vAlign w:val="bottom"/>
            <w:shd w:val="clear" w:color="auto" w:fill="CFF0FF"/>
          </w:tcPr>
          <w:p>
            <w:pPr>
              <w:spacing w:after="0"/>
              <w:rPr>
                <w:sz w:val="17"/>
                <w:szCs w:val="17"/>
                <w:color w:val="auto"/>
              </w:rPr>
            </w:pPr>
          </w:p>
        </w:tc>
        <w:tc>
          <w:tcPr>
            <w:tcW w:w="180" w:type="dxa"/>
            <w:vAlign w:val="bottom"/>
            <w:shd w:val="clear" w:color="auto" w:fill="CFF0FF"/>
          </w:tcPr>
          <w:p>
            <w:pPr>
              <w:spacing w:after="0"/>
              <w:rPr>
                <w:sz w:val="17"/>
                <w:szCs w:val="17"/>
                <w:color w:val="auto"/>
              </w:rPr>
            </w:pPr>
          </w:p>
        </w:tc>
        <w:tc>
          <w:tcPr>
            <w:tcW w:w="98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8,436</w:t>
            </w:r>
          </w:p>
        </w:tc>
        <w:tc>
          <w:tcPr>
            <w:tcW w:w="140" w:type="dxa"/>
            <w:vAlign w:val="bottom"/>
            <w:shd w:val="clear" w:color="auto" w:fill="CFF0FF"/>
          </w:tcPr>
          <w:p>
            <w:pPr>
              <w:spacing w:after="0"/>
              <w:rPr>
                <w:sz w:val="17"/>
                <w:szCs w:val="17"/>
                <w:color w:val="auto"/>
              </w:rPr>
            </w:pPr>
          </w:p>
        </w:tc>
        <w:tc>
          <w:tcPr>
            <w:tcW w:w="200" w:type="dxa"/>
            <w:vAlign w:val="bottom"/>
            <w:shd w:val="clear" w:color="auto" w:fill="CFF0FF"/>
          </w:tcPr>
          <w:p>
            <w:pPr>
              <w:spacing w:after="0"/>
              <w:rPr>
                <w:sz w:val="17"/>
                <w:szCs w:val="17"/>
                <w:color w:val="auto"/>
              </w:rPr>
            </w:pPr>
          </w:p>
        </w:tc>
        <w:tc>
          <w:tcPr>
            <w:tcW w:w="96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F"/>
          </w:tcPr>
          <w:p>
            <w:pPr>
              <w:spacing w:after="0"/>
              <w:rPr>
                <w:sz w:val="17"/>
                <w:szCs w:val="17"/>
                <w:color w:val="auto"/>
              </w:rPr>
            </w:pPr>
          </w:p>
        </w:tc>
        <w:tc>
          <w:tcPr>
            <w:tcW w:w="160" w:type="dxa"/>
            <w:vAlign w:val="bottom"/>
            <w:shd w:val="clear" w:color="auto" w:fill="CFF0FF"/>
          </w:tcPr>
          <w:p>
            <w:pPr>
              <w:spacing w:after="0"/>
              <w:rPr>
                <w:sz w:val="17"/>
                <w:szCs w:val="17"/>
                <w:color w:val="auto"/>
              </w:rPr>
            </w:pPr>
          </w:p>
        </w:tc>
        <w:tc>
          <w:tcPr>
            <w:tcW w:w="920" w:type="dxa"/>
            <w:vAlign w:val="bottom"/>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24,023</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24,023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Borders>
              <w:bottom w:val="single" w:sz="8" w:color="CFF0FF"/>
            </w:tcBorders>
            <w:shd w:val="clear" w:color="auto" w:fill="CFF0FF"/>
          </w:tcPr>
          <w:p>
            <w:pPr>
              <w:spacing w:after="0"/>
              <w:rPr>
                <w:sz w:val="17"/>
                <w:szCs w:val="17"/>
                <w:color w:val="auto"/>
              </w:rPr>
            </w:pPr>
          </w:p>
        </w:tc>
        <w:tc>
          <w:tcPr>
            <w:tcW w:w="3660" w:type="dxa"/>
            <w:vAlign w:val="bottom"/>
            <w:tcBorders>
              <w:bottom w:val="single" w:sz="8" w:color="CFF0FF"/>
            </w:tcBorders>
            <w:shd w:val="clear" w:color="auto" w:fill="CFF0FF"/>
          </w:tcPr>
          <w:p>
            <w:pPr>
              <w:ind w:left="80"/>
              <w:spacing w:after="0" w:line="196" w:lineRule="exact"/>
              <w:rPr>
                <w:sz w:val="20"/>
                <w:szCs w:val="20"/>
                <w:color w:val="auto"/>
              </w:rPr>
            </w:pPr>
            <w:r>
              <w:rPr>
                <w:rFonts w:ascii="Arial" w:cs="Arial" w:eastAsia="Arial" w:hAnsi="Arial"/>
                <w:sz w:val="18"/>
                <w:szCs w:val="18"/>
                <w:color w:val="auto"/>
              </w:rPr>
              <w:t>Total long-term investments</w:t>
            </w:r>
          </w:p>
        </w:tc>
        <w:tc>
          <w:tcPr>
            <w:tcW w:w="260" w:type="dxa"/>
            <w:vAlign w:val="bottom"/>
            <w:tcBorders>
              <w:bottom w:val="single" w:sz="8" w:color="auto"/>
            </w:tcBorders>
            <w:shd w:val="clear" w:color="auto" w:fill="CFF0FF"/>
          </w:tcPr>
          <w:p>
            <w:pPr>
              <w:spacing w:after="0"/>
              <w:rPr>
                <w:sz w:val="17"/>
                <w:szCs w:val="17"/>
                <w:color w:val="auto"/>
              </w:rPr>
            </w:pPr>
          </w:p>
        </w:tc>
        <w:tc>
          <w:tcPr>
            <w:tcW w:w="98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32,459</w:t>
            </w:r>
          </w:p>
        </w:tc>
        <w:tc>
          <w:tcPr>
            <w:tcW w:w="180" w:type="dxa"/>
            <w:vAlign w:val="bottom"/>
            <w:tcBorders>
              <w:bottom w:val="single" w:sz="8" w:color="CFF0FF"/>
            </w:tcBorders>
            <w:shd w:val="clear" w:color="auto" w:fill="CFF0FF"/>
          </w:tcPr>
          <w:p>
            <w:pPr>
              <w:spacing w:after="0"/>
              <w:rPr>
                <w:sz w:val="17"/>
                <w:szCs w:val="17"/>
                <w:color w:val="auto"/>
              </w:rPr>
            </w:pPr>
          </w:p>
        </w:tc>
        <w:tc>
          <w:tcPr>
            <w:tcW w:w="180" w:type="dxa"/>
            <w:vAlign w:val="bottom"/>
            <w:tcBorders>
              <w:bottom w:val="single" w:sz="8" w:color="auto"/>
            </w:tcBorders>
            <w:shd w:val="clear" w:color="auto" w:fill="CFF0FF"/>
          </w:tcPr>
          <w:p>
            <w:pPr>
              <w:spacing w:after="0"/>
              <w:rPr>
                <w:sz w:val="17"/>
                <w:szCs w:val="17"/>
                <w:color w:val="auto"/>
              </w:rPr>
            </w:pPr>
          </w:p>
        </w:tc>
        <w:tc>
          <w:tcPr>
            <w:tcW w:w="98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32,459</w:t>
            </w:r>
          </w:p>
        </w:tc>
        <w:tc>
          <w:tcPr>
            <w:tcW w:w="140" w:type="dxa"/>
            <w:vAlign w:val="bottom"/>
            <w:tcBorders>
              <w:bottom w:val="single" w:sz="8" w:color="CFF0FF"/>
            </w:tcBorders>
            <w:shd w:val="clear" w:color="auto" w:fill="CFF0FF"/>
          </w:tcPr>
          <w:p>
            <w:pPr>
              <w:spacing w:after="0"/>
              <w:rPr>
                <w:sz w:val="17"/>
                <w:szCs w:val="17"/>
                <w:color w:val="auto"/>
              </w:rPr>
            </w:pPr>
          </w:p>
        </w:tc>
        <w:tc>
          <w:tcPr>
            <w:tcW w:w="200" w:type="dxa"/>
            <w:vAlign w:val="bottom"/>
            <w:tcBorders>
              <w:bottom w:val="single" w:sz="8" w:color="auto"/>
            </w:tcBorders>
            <w:shd w:val="clear" w:color="auto" w:fill="CFF0FF"/>
          </w:tcPr>
          <w:p>
            <w:pPr>
              <w:spacing w:after="0"/>
              <w:rPr>
                <w:sz w:val="17"/>
                <w:szCs w:val="17"/>
                <w:color w:val="auto"/>
              </w:rPr>
            </w:pPr>
          </w:p>
        </w:tc>
        <w:tc>
          <w:tcPr>
            <w:tcW w:w="96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F"/>
            </w:tcBorders>
            <w:shd w:val="clear" w:color="auto" w:fill="CFF0FF"/>
          </w:tcPr>
          <w:p>
            <w:pPr>
              <w:spacing w:after="0"/>
              <w:rPr>
                <w:sz w:val="17"/>
                <w:szCs w:val="17"/>
                <w:color w:val="auto"/>
              </w:rPr>
            </w:pPr>
          </w:p>
        </w:tc>
        <w:tc>
          <w:tcPr>
            <w:tcW w:w="160" w:type="dxa"/>
            <w:vAlign w:val="bottom"/>
            <w:tcBorders>
              <w:bottom w:val="single" w:sz="8" w:color="auto"/>
            </w:tcBorders>
            <w:shd w:val="clear" w:color="auto" w:fill="CFF0FF"/>
          </w:tcPr>
          <w:p>
            <w:pPr>
              <w:spacing w:after="0"/>
              <w:rPr>
                <w:sz w:val="17"/>
                <w:szCs w:val="17"/>
                <w:color w:val="auto"/>
              </w:rPr>
            </w:pPr>
          </w:p>
        </w:tc>
        <w:tc>
          <w:tcPr>
            <w:tcW w:w="920" w:type="dxa"/>
            <w:vAlign w:val="bottom"/>
            <w:tcBorders>
              <w:bottom w:val="single" w:sz="8" w:color="auto"/>
            </w:tcBorders>
            <w:shd w:val="clear" w:color="auto" w:fill="CFF0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F"/>
            </w:tcBorders>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800" w:type="dxa"/>
            <w:vAlign w:val="bottom"/>
            <w:gridSpan w:val="2"/>
          </w:tcPr>
          <w:p>
            <w:pPr>
              <w:spacing w:after="0" w:line="156" w:lineRule="exact"/>
              <w:rPr>
                <w:sz w:val="20"/>
                <w:szCs w:val="20"/>
                <w:color w:val="auto"/>
              </w:rPr>
            </w:pPr>
            <w:r>
              <w:rPr>
                <w:rFonts w:ascii="Arial" w:cs="Arial" w:eastAsia="Arial" w:hAnsi="Arial"/>
                <w:sz w:val="18"/>
                <w:szCs w:val="18"/>
                <w:color w:val="auto"/>
                <w:w w:val="92"/>
              </w:rPr>
              <w:t>Total cash equivalents, short-term investments and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116,747</w:t>
            </w:r>
          </w:p>
        </w:tc>
        <w:tc>
          <w:tcPr>
            <w:tcW w:w="36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82,774</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33,973</w:t>
            </w:r>
          </w:p>
        </w:tc>
        <w:tc>
          <w:tcPr>
            <w:tcW w:w="32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800" w:type="dxa"/>
            <w:vAlign w:val="bottom"/>
            <w:gridSpan w:val="2"/>
          </w:tcPr>
          <w:p>
            <w:pPr>
              <w:spacing w:after="0" w:line="156" w:lineRule="exact"/>
              <w:rPr>
                <w:sz w:val="20"/>
                <w:szCs w:val="20"/>
                <w:color w:val="auto"/>
              </w:rPr>
            </w:pPr>
            <w:r>
              <w:rPr>
                <w:rFonts w:ascii="Arial" w:cs="Arial" w:eastAsia="Arial" w:hAnsi="Arial"/>
                <w:sz w:val="18"/>
                <w:szCs w:val="18"/>
                <w:color w:val="auto"/>
              </w:rPr>
              <w:t>long-term investments</w:t>
            </w:r>
          </w:p>
        </w:tc>
        <w:tc>
          <w:tcPr>
            <w:tcW w:w="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-1316355</wp:posOffset>
            </wp:positionV>
            <wp:extent cx="5143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-1316355</wp:posOffset>
            </wp:positionV>
            <wp:extent cx="431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-1316355</wp:posOffset>
            </wp:positionV>
            <wp:extent cx="431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-1316355</wp:posOffset>
            </wp:positionV>
            <wp:extent cx="431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-784860</wp:posOffset>
            </wp:positionV>
            <wp:extent cx="5143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-784860</wp:posOffset>
            </wp:positionV>
            <wp:extent cx="431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-784860</wp:posOffset>
            </wp:positionV>
            <wp:extent cx="431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-784860</wp:posOffset>
            </wp:positionV>
            <wp:extent cx="431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-245110</wp:posOffset>
            </wp:positionV>
            <wp:extent cx="5143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-245110</wp:posOffset>
            </wp:positionV>
            <wp:extent cx="431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-245110</wp:posOffset>
            </wp:positionV>
            <wp:extent cx="431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-245110</wp:posOffset>
            </wp:positionV>
            <wp:extent cx="431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did not have any financial liabilities recorded at fair value on a recurring or non-recurring basis as of December 31, 2021 and 2020.</w:t>
      </w:r>
    </w:p>
    <w:p>
      <w:pPr>
        <w:spacing w:after="0" w:line="235"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For Level 1 investments, the Company uses quoted prices in active markets for identical assets to determine the fair value. For Level 2 investments,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17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estimated fair value of the term loan was $5.0 million as of December 31, 2021 and was based on estimated interest rates currently available to the Company for debt with similar terms, a Level 2 input.</w:t>
      </w:r>
    </w:p>
    <w:p>
      <w:pPr>
        <w:spacing w:after="0" w:line="275" w:lineRule="exact"/>
        <w:rPr>
          <w:sz w:val="20"/>
          <w:szCs w:val="20"/>
          <w:color w:val="auto"/>
        </w:rPr>
      </w:pPr>
    </w:p>
    <w:p>
      <w:pPr>
        <w:jc w:val="both"/>
        <w:ind w:right="8960" w:firstLine="8"/>
        <w:spacing w:after="0" w:line="434" w:lineRule="auto"/>
        <w:tabs>
          <w:tab w:leader="none" w:pos="18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Components Property and equipment, net</w:t>
      </w:r>
    </w:p>
    <w:p>
      <w:pPr>
        <w:spacing w:after="0" w:line="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Property and equipment, net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and office equipment</w:t>
            </w:r>
          </w:p>
        </w:tc>
        <w:tc>
          <w:tcPr>
            <w:tcW w:w="17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Computer software</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Manufacturing machinery and equipment</w:t>
            </w:r>
          </w:p>
        </w:tc>
        <w:tc>
          <w:tcPr>
            <w:tcW w:w="17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(31 )</w:t>
            </w:r>
          </w:p>
        </w:tc>
        <w:tc>
          <w:tcPr>
            <w:tcW w:w="3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(8 )</w:t>
            </w: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7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12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60" w:type="dxa"/>
            <w:vAlign w:val="bottom"/>
          </w:tcPr>
          <w:p>
            <w:pPr>
              <w:jc w:val="right"/>
              <w:ind w:right="1010"/>
              <w:spacing w:after="0"/>
              <w:rPr>
                <w:sz w:val="20"/>
                <w:szCs w:val="20"/>
                <w:color w:val="auto"/>
              </w:rPr>
            </w:pPr>
            <w:r>
              <w:rPr>
                <w:rFonts w:ascii="Arial" w:cs="Arial" w:eastAsia="Arial" w:hAnsi="Arial"/>
                <w:sz w:val="18"/>
                <w:szCs w:val="18"/>
                <w:color w:val="auto"/>
              </w:rPr>
              <w:t>127</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-496570</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-479425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-496570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-479425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Property and equipment, net is included in other assets on the balance sheets. Depreciation expense was $23 thousand and $5 thousand for the years ended December 31, 2021 and 2020,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35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780" w:type="dxa"/>
            <w:vAlign w:val="bottom"/>
            <w:shd w:val="clear" w:color="auto" w:fill="CFF0FC"/>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3,837</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2,002</w:t>
            </w:r>
          </w:p>
        </w:tc>
        <w:tc>
          <w:tcPr>
            <w:tcW w:w="8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Accrued general and administrative expenses</w:t>
            </w: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8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 liability, current portion</w:t>
            </w:r>
          </w:p>
        </w:tc>
        <w:tc>
          <w:tcPr>
            <w:tcW w:w="7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360</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780" w:type="dxa"/>
            <w:vAlign w:val="bottom"/>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4,613</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2,496</w:t>
            </w:r>
          </w:p>
        </w:tc>
        <w:tc>
          <w:tcPr>
            <w:tcW w:w="8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-159385</wp:posOffset>
            </wp:positionV>
            <wp:extent cx="5143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research and development expenses were primarily related to clinical trials, preclinical studies, and manufacturing.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08" w:lineRule="exact"/>
        <w:rPr>
          <w:sz w:val="20"/>
          <w:szCs w:val="20"/>
          <w:color w:val="auto"/>
        </w:rPr>
      </w:pPr>
    </w:p>
    <w:p>
      <w:pPr>
        <w:jc w:val="both"/>
        <w:ind w:right="140" w:firstLine="509"/>
        <w:spacing w:after="0" w:line="324" w:lineRule="auto"/>
        <w:rPr>
          <w:sz w:val="20"/>
          <w:szCs w:val="20"/>
          <w:color w:val="auto"/>
        </w:rPr>
      </w:pPr>
      <w:r>
        <w:rPr>
          <w:rFonts w:ascii="Arial" w:cs="Arial" w:eastAsia="Arial" w:hAnsi="Arial"/>
          <w:sz w:val="16"/>
          <w:szCs w:val="16"/>
          <w:color w:val="auto"/>
        </w:rPr>
        <w:t>The Company leases space under non-cancelable operating leases which require the Company to pay base rent, real estate taxes, insurance, general repairs, and maintenance. The Company does not have finance leases. The Company adopted ASC Topic 842 as of January 1, 2020.</w:t>
      </w:r>
    </w:p>
    <w:p>
      <w:pPr>
        <w:spacing w:after="0" w:line="124"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6"/>
          <w:szCs w:val="16"/>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year ended December 31, 2021 and 2020 was $0.4 million and $0.1 million, respectively.</w:t>
      </w:r>
    </w:p>
    <w:p>
      <w:pPr>
        <w:spacing w:after="0" w:line="15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Lease right-of-use assets and liabilities are recognized at the commencement date based on the present value of the remaining minimum lease payments over the lease term. As the leases do not provide an implicit rate, the Company uses a collateralized incremental borrowing rate based on the information available at the commencement date to determine the lease liability. As of December 31, 2021, the weighted-average remaining lease term for operating leases was 3.9 years and the weighted-average discount rate was 7.0%. Cash paid for amounts included in the measurement of lease liabilities was $0.3 million and $37 thousand for the year ended December 31, 2021 and 2020, respectively.</w:t>
      </w:r>
    </w:p>
    <w:p>
      <w:pPr>
        <w:spacing w:after="0" w:line="1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 Variable lease expense for the year ended December 31, 2021 and 2020 was minimal.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Future minimum annual lease commitments under the Company’s non-cancelable operating leases as of December 31, 2021 were as follows (in thousands):</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undiscounted future minimum lease payments</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1,899</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present value discount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discounted future minimum lease payments</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1,653</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0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Lease liability, current portion (included in "accrued</w:t>
            </w: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0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rPr>
              <w:t>expenses and other current liabilities" on the</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condensed balance sheet)</w:t>
            </w:r>
          </w:p>
        </w:tc>
        <w:tc>
          <w:tcPr>
            <w:tcW w:w="26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operating lease liability</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-1068070</wp:posOffset>
            </wp:positionV>
            <wp:extent cx="7747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-802005</wp:posOffset>
            </wp:positionV>
            <wp:extent cx="7747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(defined below), repayment dates of all monthly payments of principal due and the maturity date with respect to the Term Loan by six months. All other terms of the Term Loan remained unchanged. The Deferral Agreement was determined to be a debt modification, resulting in a prospective yield adjustment based on the revised terms.</w:t>
      </w:r>
    </w:p>
    <w:p>
      <w:pPr>
        <w:spacing w:after="0" w:line="81" w:lineRule="exact"/>
        <w:rPr>
          <w:sz w:val="20"/>
          <w:szCs w:val="20"/>
          <w:color w:val="auto"/>
        </w:rPr>
      </w:pPr>
    </w:p>
    <w:p>
      <w:pPr>
        <w:jc w:val="both"/>
        <w:ind w:right="120" w:firstLine="509"/>
        <w:spacing w:after="0" w:line="262" w:lineRule="auto"/>
        <w:rPr>
          <w:sz w:val="20"/>
          <w:szCs w:val="20"/>
          <w:color w:val="auto"/>
        </w:rPr>
      </w:pPr>
      <w:r>
        <w:rPr>
          <w:rFonts w:ascii="Arial" w:cs="Arial" w:eastAsia="Arial" w:hAnsi="Arial"/>
          <w:sz w:val="17"/>
          <w:szCs w:val="17"/>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was available under the first tranche of the Term Loan (First Tranche), $5.0 million of which was advanced immediately to repay the outstanding obligations under the Term Loan prior to the First Amendment. The remainder of the First Tranche commitment, or $15.0 million, expired on December 31, 2021. Up to $10.0 million is available under the second tranche (Second Tranche), subject to the completion of certain clinical and financial milestones, which Second Tranche commitment is available through December 31, 2022. Pursuant to the First Amendment, the Term Loan will mature on January 1, 2026. The First Amendment was determined to be a debt modification.</w:t>
      </w:r>
    </w:p>
    <w:p>
      <w:pPr>
        <w:spacing w:after="0" w:line="7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81"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5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Company incurred $10.0 thousand of debt issuance costs in connection with the First Amendment and had unamortized issuance costs and unamortized debt discount under the Loan Agreement of $2.0 thousand and $16.0 thousand, respectively.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$0.1 million as of December 31, 2021.</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Term Loan and unamortized discount and debt issuance costs balances as of December 31, 2021 are shown below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Term Loan debt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4,500</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1"/>
              </w:rPr>
              <w:t>Less: unamortized discount and debt issuance costs</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(122 )</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(24 )</w:t>
            </w: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Term Loan, net</w:t>
            </w: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4,878</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4,476</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Less: Term Loan, current portion</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(2,554 )</w:t>
            </w:r>
          </w:p>
        </w:tc>
      </w:tr>
      <w:tr>
        <w:trPr>
          <w:trHeight w:val="236"/>
        </w:trPr>
        <w:tc>
          <w:tcPr>
            <w:tcW w:w="4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Term loan, net of current portion</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spacing w:after="0" w:line="16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December 31, 2021, management believes that the Company was in compliance with all financial covenants under the Loan Agreement and there had been no material adverse change.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future principal payments per year under the Term Loan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Amount</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900" w:type="dxa"/>
            <w:vAlign w:val="bottom"/>
            <w:shd w:val="clear" w:color="auto" w:fill="CFF0FC"/>
          </w:tcPr>
          <w:p>
            <w:pPr>
              <w:jc w:val="right"/>
              <w:ind w:right="1450"/>
              <w:spacing w:after="0" w:line="196" w:lineRule="exact"/>
              <w:rPr>
                <w:sz w:val="20"/>
                <w:szCs w:val="20"/>
                <w:color w:val="auto"/>
              </w:rPr>
            </w:pPr>
            <w:r>
              <w:rPr>
                <w:rFonts w:ascii="Arial" w:cs="Arial" w:eastAsia="Arial" w:hAnsi="Arial"/>
                <w:sz w:val="18"/>
                <w:szCs w:val="18"/>
                <w:color w:val="auto"/>
                <w:w w:val="84"/>
              </w:rPr>
              <w:t>2022</w:t>
            </w:r>
          </w:p>
        </w:tc>
        <w:tc>
          <w:tcPr>
            <w:tcW w:w="33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900" w:type="dxa"/>
            <w:vAlign w:val="bottom"/>
          </w:tcPr>
          <w:p>
            <w:pPr>
              <w:jc w:val="right"/>
              <w:ind w:right="1450"/>
              <w:spacing w:after="0" w:line="202" w:lineRule="exact"/>
              <w:rPr>
                <w:sz w:val="20"/>
                <w:szCs w:val="20"/>
                <w:color w:val="auto"/>
              </w:rPr>
            </w:pPr>
            <w:r>
              <w:rPr>
                <w:rFonts w:ascii="Arial" w:cs="Arial" w:eastAsia="Arial" w:hAnsi="Arial"/>
                <w:sz w:val="18"/>
                <w:szCs w:val="18"/>
                <w:color w:val="auto"/>
                <w:w w:val="84"/>
              </w:rPr>
              <w:t>2023</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900" w:type="dxa"/>
            <w:vAlign w:val="bottom"/>
            <w:shd w:val="clear" w:color="auto" w:fill="CFF0FC"/>
          </w:tcPr>
          <w:p>
            <w:pPr>
              <w:jc w:val="right"/>
              <w:ind w:right="1450"/>
              <w:spacing w:after="0" w:line="202" w:lineRule="exact"/>
              <w:rPr>
                <w:sz w:val="20"/>
                <w:szCs w:val="20"/>
                <w:color w:val="auto"/>
              </w:rPr>
            </w:pPr>
            <w:r>
              <w:rPr>
                <w:rFonts w:ascii="Arial" w:cs="Arial" w:eastAsia="Arial" w:hAnsi="Arial"/>
                <w:sz w:val="18"/>
                <w:szCs w:val="18"/>
                <w:color w:val="auto"/>
                <w:w w:val="84"/>
              </w:rPr>
              <w:t>2024</w:t>
            </w:r>
          </w:p>
        </w:tc>
        <w:tc>
          <w:tcPr>
            <w:tcW w:w="3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1,622</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900" w:type="dxa"/>
            <w:vAlign w:val="bottom"/>
          </w:tcPr>
          <w:p>
            <w:pPr>
              <w:jc w:val="right"/>
              <w:ind w:right="1450"/>
              <w:spacing w:after="0" w:line="202" w:lineRule="exact"/>
              <w:rPr>
                <w:sz w:val="20"/>
                <w:szCs w:val="20"/>
                <w:color w:val="auto"/>
              </w:rPr>
            </w:pPr>
            <w:r>
              <w:rPr>
                <w:rFonts w:ascii="Arial" w:cs="Arial" w:eastAsia="Arial" w:hAnsi="Arial"/>
                <w:sz w:val="18"/>
                <w:szCs w:val="18"/>
                <w:color w:val="auto"/>
                <w:w w:val="84"/>
              </w:rPr>
              <w:t>2025</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1,621</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900" w:type="dxa"/>
            <w:vAlign w:val="bottom"/>
            <w:tcBorders>
              <w:bottom w:val="single" w:sz="8" w:color="CFF0FC"/>
            </w:tcBorders>
            <w:shd w:val="clear" w:color="auto" w:fill="CFF0FC"/>
          </w:tcPr>
          <w:p>
            <w:pPr>
              <w:jc w:val="right"/>
              <w:ind w:right="1450"/>
              <w:spacing w:after="0" w:line="202" w:lineRule="exact"/>
              <w:rPr>
                <w:sz w:val="20"/>
                <w:szCs w:val="20"/>
                <w:color w:val="auto"/>
              </w:rPr>
            </w:pPr>
            <w:r>
              <w:rPr>
                <w:rFonts w:ascii="Arial" w:cs="Arial" w:eastAsia="Arial" w:hAnsi="Arial"/>
                <w:sz w:val="18"/>
                <w:szCs w:val="18"/>
                <w:color w:val="auto"/>
                <w:w w:val="84"/>
              </w:rPr>
              <w:t>2026</w:t>
            </w:r>
          </w:p>
        </w:tc>
        <w:tc>
          <w:tcPr>
            <w:tcW w:w="33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900" w:type="dxa"/>
            <w:vAlign w:val="bottom"/>
          </w:tcPr>
          <w:p>
            <w:pPr>
              <w:jc w:val="right"/>
              <w:ind w:right="1250"/>
              <w:spacing w:after="0" w:line="196" w:lineRule="exact"/>
              <w:rPr>
                <w:sz w:val="20"/>
                <w:szCs w:val="20"/>
                <w:color w:val="auto"/>
              </w:rPr>
            </w:pPr>
            <w:r>
              <w:rPr>
                <w:rFonts w:ascii="Arial" w:cs="Arial" w:eastAsia="Arial" w:hAnsi="Arial"/>
                <w:sz w:val="18"/>
                <w:szCs w:val="18"/>
                <w:color w:val="auto"/>
              </w:rPr>
              <w:t>Total</w:t>
            </w:r>
          </w:p>
        </w:tc>
        <w:tc>
          <w:tcPr>
            <w:tcW w:w="36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5,000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60" w:type="dxa"/>
            <w:vAlign w:val="bottom"/>
            <w:vMerge w:val="restart"/>
          </w:tcPr>
          <w:p>
            <w:pPr>
              <w:jc w:val="right"/>
              <w:ind w:right="1670"/>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-639445</wp:posOffset>
            </wp:positionV>
            <wp:extent cx="431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Company made interest payments on the Term Loan of $0.2 million and $0.2 million during the year ended December 31, 2021 and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year ended December 31, 2021 and management is not aware of any pending or threatened litigation.</w:t>
      </w:r>
    </w:p>
    <w:p>
      <w:pPr>
        <w:spacing w:after="0" w:line="293" w:lineRule="exact"/>
        <w:rPr>
          <w:sz w:val="20"/>
          <w:szCs w:val="20"/>
          <w:color w:val="auto"/>
        </w:rPr>
      </w:pPr>
    </w:p>
    <w:p>
      <w:pPr>
        <w:ind w:right="9700" w:firstLine="8"/>
        <w:spacing w:after="0" w:line="407" w:lineRule="auto"/>
        <w:tabs>
          <w:tab w:leader="none" w:pos="1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spacing w:after="0" w:line="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December 31, 2021 and 2020, the Company was authorized to issue 200,000,000 shares of $0.0001 par value common stock, respectively. Holders of the Company’s common stock are entitled to dividends if and when declared by the Board of Directors of the Company (Board of Directors) and after any redeemable convertible preferred share dividends are fully paid. The holder of each share of common stock is entitled to one vote. As of December 31, 2021, no dividends were declared.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issued and outstanding</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2,215,942</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2,278,771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w w:val="95"/>
              </w:rPr>
              <w:t>Restricted and performance stock units, issued and outstanding</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460,000</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4"/>
              </w:rPr>
              <w:t>Shares available for future issuance under 2020 Equity Incentive</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2,636,506</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2,637,076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Plan</w:t>
            </w:r>
          </w:p>
        </w:tc>
        <w:tc>
          <w:tcPr>
            <w:tcW w:w="13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line="162" w:lineRule="exact"/>
              <w:rPr>
                <w:sz w:val="20"/>
                <w:szCs w:val="20"/>
                <w:color w:val="auto"/>
              </w:rPr>
            </w:pPr>
            <w:r>
              <w:rPr>
                <w:rFonts w:ascii="Arial" w:cs="Arial" w:eastAsia="Arial" w:hAnsi="Arial"/>
                <w:sz w:val="18"/>
                <w:szCs w:val="18"/>
                <w:color w:val="auto"/>
              </w:rPr>
              <w:t>Employee stock purchase plan, available for future</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433,200</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220,640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line="202" w:lineRule="exact"/>
              <w:rPr>
                <w:sz w:val="20"/>
                <w:szCs w:val="20"/>
                <w:color w:val="auto"/>
              </w:rPr>
            </w:pPr>
            <w:r>
              <w:rPr>
                <w:rFonts w:ascii="Arial" w:cs="Arial" w:eastAsia="Arial" w:hAnsi="Arial"/>
                <w:sz w:val="18"/>
                <w:szCs w:val="18"/>
                <w:color w:val="auto"/>
              </w:rPr>
              <w:t>issuance</w:t>
            </w:r>
          </w:p>
        </w:tc>
        <w:tc>
          <w:tcPr>
            <w:tcW w:w="13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shares reserved</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5,745,648</w:t>
            </w:r>
          </w:p>
        </w:tc>
        <w:tc>
          <w:tcPr>
            <w:tcW w:w="1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5,136,487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431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431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Immediately prior to the closing of the IPO, all outstanding shares of the Company’s redeemable convertible preferred stock converted into 15,492,019 shares of common stock and the related carrying value was reclassified to common stock and additional paid-in capital. There were no shares of redeemable convertible preferred stock outstanding as of December 31, 2021 and 2020.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 and Stock-Based Compensation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Equity Incentive Plan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Following the effectiveness of the 2020 Plan, no further grants will be made under the 2016 Plan; however, shares subject to awards granted under the 2016 Plan will continue to be governed by the 2016 Plan.</w:t>
      </w:r>
    </w:p>
    <w:p>
      <w:pPr>
        <w:spacing w:after="0" w:line="18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8"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The Board of Directors determines the period over which options vest and become exercisable. Options granted to new employees generally vest over a four-year period: 25% of the shares vest on the first anniversary from the vesting commencement date of the option and an additional 1/48th of the shares vest on each monthly anniversary thereafter, subject to the employee’s continuous service through each vesting date.</w:t>
      </w:r>
    </w:p>
    <w:p>
      <w:pPr>
        <w:spacing w:after="0" w:line="147"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five years from date of grant and the maximum term for all other options must be no longer than ten years from date of grant. If an option holder’s service terminates, options generally terminate three months from the date of termination except under certain circumstances, such as death or disability.</w:t>
      </w:r>
    </w:p>
    <w:p>
      <w:pPr>
        <w:spacing w:after="0" w:line="147"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Under the 2020 Plan and the 2016 Plan, individuals can be granted the ability to early exercise their options. There were no shares, related to the early exercise of options, subject to repurchase by the Company as of December 31, 2021. As of December 31, 2021, a total of 3,810,703 shares were authorized to be issued under the 2020 Plan and 2,636,506 shares remained available for issuance, and a total of 1,501,745 shares were authorized for issuance under the 2016 Plan and no shares remained available for issuance.</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 summary of the Company’s stock option activity and related information is as follows (in thousands, except share and per share amounts):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9"/>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2019</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859,322</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1,775,808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(57,614 )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0.89</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Forfeited/Cancelled</w:t>
            </w:r>
          </w:p>
        </w:tc>
        <w:tc>
          <w:tcPr>
            <w:tcW w:w="1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(298,745 )</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2,278,771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2.78</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947,917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10.78</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(211,439 )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Forfeited/Cancelled</w:t>
            </w:r>
          </w:p>
        </w:tc>
        <w:tc>
          <w:tcPr>
            <w:tcW w:w="1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(799,307 )</w:t>
            </w: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December 31, 2021</w:t>
            </w: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2,215,942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4.72</w:t>
            </w:r>
          </w:p>
        </w:tc>
        <w:tc>
          <w:tcPr>
            <w:tcW w:w="1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6.9</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3,959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4800" w:type="dxa"/>
            <w:vAlign w:val="bottom"/>
          </w:tcPr>
          <w:p>
            <w:pPr>
              <w:spacing w:after="0" w:line="142" w:lineRule="exact"/>
              <w:rPr>
                <w:sz w:val="20"/>
                <w:szCs w:val="20"/>
                <w:color w:val="auto"/>
              </w:rPr>
            </w:pPr>
            <w:r>
              <w:rPr>
                <w:rFonts w:ascii="Arial" w:cs="Arial" w:eastAsia="Arial" w:hAnsi="Arial"/>
                <w:sz w:val="16"/>
                <w:szCs w:val="16"/>
                <w:color w:val="auto"/>
              </w:rPr>
              <w:t>Vested and expected to vest as of December 31,</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2,181,939</w:t>
            </w:r>
          </w:p>
        </w:tc>
        <w:tc>
          <w:tcPr>
            <w:tcW w:w="2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4.72</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140"/>
              <w:spacing w:after="0" w:line="156"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Vested and exercisable as of December 31, 2021</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961,313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3.54</w:t>
            </w:r>
          </w:p>
        </w:tc>
        <w:tc>
          <w:tcPr>
            <w:tcW w:w="1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-419100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-401955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right="80" w:firstLine="562"/>
        <w:spacing w:after="0" w:line="261" w:lineRule="auto"/>
        <w:rPr>
          <w:sz w:val="20"/>
          <w:szCs w:val="20"/>
          <w:color w:val="auto"/>
        </w:rPr>
      </w:pPr>
      <w:r>
        <w:rPr>
          <w:rFonts w:ascii="Arial" w:cs="Arial" w:eastAsia="Arial" w:hAnsi="Arial"/>
          <w:sz w:val="18"/>
          <w:szCs w:val="18"/>
          <w:color w:val="auto"/>
        </w:rPr>
        <w:t>Stock options vested and expected to vest differs from total stock options outstanding as it excludes performance-based stock options for which the performance criteria have not been achieved as of December 31, 2021.</w:t>
      </w:r>
    </w:p>
    <w:p>
      <w:pPr>
        <w:spacing w:after="0" w:line="63"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$2.0 million and $0.3 million for the year ended December 31, 2021 and 2020, respectively.</w:t>
      </w:r>
    </w:p>
    <w:p>
      <w:pPr>
        <w:spacing w:after="0" w:line="74" w:lineRule="exact"/>
        <w:rPr>
          <w:sz w:val="20"/>
          <w:szCs w:val="20"/>
          <w:color w:val="auto"/>
        </w:rPr>
      </w:pPr>
    </w:p>
    <w:p>
      <w:pPr>
        <w:ind w:right="60" w:firstLine="562"/>
        <w:spacing w:after="0" w:line="279" w:lineRule="auto"/>
        <w:rPr>
          <w:sz w:val="20"/>
          <w:szCs w:val="20"/>
          <w:color w:val="auto"/>
        </w:rPr>
      </w:pPr>
      <w:r>
        <w:rPr>
          <w:rFonts w:ascii="Arial" w:cs="Arial" w:eastAsia="Arial" w:hAnsi="Arial"/>
          <w:sz w:val="16"/>
          <w:szCs w:val="16"/>
          <w:color w:val="auto"/>
        </w:rPr>
        <w:t>The Company recognizes compensation expense for stock option awards granted to employees and non-employee on a straight-line basis over the requisite service period of the award, generally four years. During the years ended December 31, 2021 and 2020, the Company granted options to purchase an aggregate of 947,917 and 1,775,808 shares of common stock to grantees with a weighted-average exercise price of $10.78 and $3.33 per share, respectively. For the years ended December 31, 2021 and 2020, the weighted-average fair value of options granted was $8.55 and $3.56 per share, respectively, and was estimated using the Black-Scholes option-pricing model, with the following weighted-average assumptions: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680" w:type="dxa"/>
            <w:vAlign w:val="bottom"/>
            <w:gridSpan w:val="2"/>
          </w:tcPr>
          <w:p>
            <w:pPr>
              <w:ind w:left="5400"/>
              <w:spacing w:after="0"/>
              <w:rPr>
                <w:sz w:val="20"/>
                <w:szCs w:val="20"/>
                <w:color w:val="auto"/>
              </w:rPr>
            </w:pPr>
            <w:r>
              <w:rPr>
                <w:rFonts w:ascii="Arial" w:cs="Arial" w:eastAsia="Arial" w:hAnsi="Arial"/>
                <w:sz w:val="14"/>
                <w:szCs w:val="14"/>
                <w:b w:val="1"/>
                <w:bCs w:val="1"/>
                <w:color w:val="auto"/>
                <w:w w:val="83"/>
              </w:rPr>
              <w:t>2021</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7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7"/>
                <w:szCs w:val="17"/>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87"/>
              </w:rPr>
              <w:t>102.8 %</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80.1 %</w:t>
            </w:r>
          </w:p>
        </w:tc>
      </w:tr>
      <w:tr>
        <w:trPr>
          <w:trHeight w:val="203"/>
        </w:trPr>
        <w:tc>
          <w:tcPr>
            <w:tcW w:w="5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0.9 %</w:t>
            </w:r>
          </w:p>
        </w:tc>
        <w:tc>
          <w:tcPr>
            <w:tcW w:w="13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0.4 %</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0.0 %</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0.0 %</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Company’s RSU activity and related information is as follows (in thousands, except share and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Weight-Average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Grant Date Fair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Value Per Share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Unvested balance as of December 31, 2020</w:t>
            </w:r>
          </w:p>
        </w:tc>
        <w:tc>
          <w:tcPr>
            <w:tcW w:w="20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20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206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balance as of December 31, 2021</w:t>
            </w:r>
          </w:p>
        </w:tc>
        <w:tc>
          <w:tcPr>
            <w:tcW w:w="20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460,000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60" w:type="dxa"/>
            <w:vAlign w:val="bottom"/>
          </w:tcPr>
          <w:p>
            <w:pPr>
              <w:jc w:val="right"/>
              <w:ind w:right="1090"/>
              <w:spacing w:after="0"/>
              <w:rPr>
                <w:sz w:val="20"/>
                <w:szCs w:val="20"/>
                <w:color w:val="auto"/>
              </w:rPr>
            </w:pPr>
            <w:r>
              <w:rPr>
                <w:rFonts w:ascii="Arial" w:cs="Arial" w:eastAsia="Arial" w:hAnsi="Arial"/>
                <w:sz w:val="18"/>
                <w:szCs w:val="18"/>
                <w:color w:val="auto"/>
              </w:rPr>
              <w:t>133</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-496570</wp:posOffset>
            </wp:positionV>
            <wp:extent cx="514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-479425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-496570</wp:posOffset>
            </wp:positionV>
            <wp:extent cx="431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-479425</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40" w:firstLine="562"/>
        <w:spacing w:after="0" w:line="324" w:lineRule="auto"/>
        <w:rPr>
          <w:sz w:val="20"/>
          <w:szCs w:val="20"/>
          <w:color w:val="auto"/>
        </w:rPr>
      </w:pPr>
      <w:r>
        <w:rPr>
          <w:rFonts w:ascii="Arial" w:cs="Arial" w:eastAsia="Arial" w:hAnsi="Arial"/>
          <w:sz w:val="16"/>
          <w:szCs w:val="16"/>
          <w:color w:val="auto"/>
        </w:rPr>
        <w:t>In December 2021, the Company granted 460,000 RSUs, including 230,000 RSUs subject to time-based vesting in installments through June 30, 2023, and 230,000 RSUs subject to performance-based vesting conditions related to the satisfaction of certain clinical development milestones.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Stock Purchase Plan</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Company’s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168" w:lineRule="exact"/>
        <w:rPr>
          <w:sz w:val="20"/>
          <w:szCs w:val="20"/>
          <w:color w:val="auto"/>
        </w:rPr>
      </w:pPr>
    </w:p>
    <w:p>
      <w:pPr>
        <w:ind w:right="40" w:firstLine="509"/>
        <w:spacing w:after="0" w:line="221" w:lineRule="auto"/>
        <w:rPr>
          <w:sz w:val="20"/>
          <w:szCs w:val="20"/>
          <w:color w:val="auto"/>
        </w:rPr>
      </w:pPr>
      <w:r>
        <w:rPr>
          <w:rFonts w:ascii="Arial" w:cs="Arial" w:eastAsia="Arial" w:hAnsi="Arial"/>
          <w:sz w:val="18"/>
          <w:szCs w:val="18"/>
          <w:color w:val="auto"/>
        </w:rPr>
        <w:t>Except for the initial offering period, the ESPP provides for 24-month offering periods starting every January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and July 1</w:t>
      </w:r>
      <w:r>
        <w:rPr>
          <w:rFonts w:ascii="Arial" w:cs="Arial" w:eastAsia="Arial" w:hAnsi="Arial"/>
          <w:sz w:val="24"/>
          <w:szCs w:val="24"/>
          <w:color w:val="auto"/>
          <w:vertAlign w:val="superscript"/>
        </w:rPr>
        <w:t>st</w:t>
      </w:r>
      <w:r>
        <w:rPr>
          <w:rFonts w:ascii="Arial" w:cs="Arial" w:eastAsia="Arial" w:hAnsi="Arial"/>
          <w:sz w:val="18"/>
          <w:szCs w:val="18"/>
          <w:color w:val="auto"/>
        </w:rPr>
        <w:t>, each consisting of four six-month purchase periods. During the year ended December 31, 2021, 20,043 shares of common stock were issued under the ESPP. As of December 31, 2021, 433,200 shares of common stock remained available for issuance under the ESPP.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Stock Options and ESPP Shares</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fair market value of both stock options and the option component of shares purchased under the ESPP was estimated using the Black-Scholes option pricing model. The description of the significant assumptions used in the model are as follows:</w:t>
      </w:r>
    </w:p>
    <w:p>
      <w:pPr>
        <w:spacing w:after="0" w:line="63" w:lineRule="exact"/>
        <w:rPr>
          <w:sz w:val="20"/>
          <w:szCs w:val="20"/>
          <w:color w:val="auto"/>
        </w:rPr>
      </w:pPr>
    </w:p>
    <w:p>
      <w:pPr>
        <w:ind w:left="1020" w:right="100" w:hanging="503"/>
        <w:spacing w:after="0" w:line="24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is based on the simplified method, as the Company’s stock options have the following characteristics: (i)</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For the ESPP, the expected term is based on the term of the purchase period.</w:t>
      </w:r>
    </w:p>
    <w:p>
      <w:pPr>
        <w:spacing w:after="0" w:line="81" w:lineRule="exact"/>
        <w:rPr>
          <w:rFonts w:ascii="Arial" w:cs="Arial" w:eastAsia="Arial" w:hAnsi="Arial"/>
          <w:sz w:val="18"/>
          <w:szCs w:val="18"/>
          <w:color w:val="auto"/>
        </w:rPr>
      </w:pPr>
    </w:p>
    <w:p>
      <w:pPr>
        <w:ind w:left="1020" w:right="100" w:hanging="503"/>
        <w:spacing w:after="0" w:line="24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estimated based on the historical volatilities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evaluating similarity, the Company considered factors such as market capitalization, stage of development, area of specialty, and stock-specific attributes. The Company will continue to analyze the historical stock price volatility and expected term assumptions as more historical data for the Company’s common stock becomes available.</w:t>
      </w:r>
    </w:p>
    <w:p>
      <w:pPr>
        <w:spacing w:after="0" w:line="79"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U.S. Treasury constant maturity rates with remaining terms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used an expected dividend rate of zero in the valuation model.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Forfeitures</w:t>
      </w:r>
      <w:r>
        <w:rPr>
          <w:rFonts w:ascii="Arial" w:cs="Arial" w:eastAsia="Arial" w:hAnsi="Arial"/>
          <w:sz w:val="18"/>
          <w:szCs w:val="18"/>
          <w:color w:val="auto"/>
        </w:rPr>
        <w:t>. The Company accounts for forfeitures as they occur.</w:t>
      </w:r>
    </w:p>
    <w:p>
      <w:pPr>
        <w:spacing w:after="0" w:line="212"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The Company recognizes compensation expense for stock option awards granted on a straight-line basis over the requisite service period of the award, generally four years. During the years ended December 31, 2021 and 2020, the Company granted options to purchase an aggregate of 947,917 and 1,775,808 shares of common stock to grantees with a weighted-average exercise price of $10.78 and $3.33 per share, respectively.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For the years ended December 31, 2021 and 2020, the weighted-average fair value of options granted was $8.55 and $3.56 per share, respectively, and was estimated using the Black-Scholes option-pricing model, with the following weighted-average assumptions:</w:t>
      </w:r>
    </w:p>
    <w:p>
      <w:pPr>
        <w:spacing w:after="0" w:line="378" w:lineRule="exact"/>
        <w:rPr>
          <w:sz w:val="20"/>
          <w:szCs w:val="20"/>
          <w:color w:val="auto"/>
        </w:rPr>
      </w:pPr>
    </w:p>
    <w:tbl>
      <w:tblPr>
        <w:tblLayout w:type="fixed"/>
        <w:tblInd w:w="1420" w:type="dxa"/>
        <w:tblCellMar>
          <w:top w:w="0" w:type="dxa"/>
          <w:left w:w="0" w:type="dxa"/>
          <w:bottom w:w="0" w:type="dxa"/>
          <w:right w:w="0" w:type="dxa"/>
        </w:tblCellMar>
      </w:tblPr>
      <w:tr>
        <w:trPr>
          <w:trHeight w:val="185"/>
        </w:trPr>
        <w:tc>
          <w:tcPr>
            <w:tcW w:w="6140" w:type="dxa"/>
            <w:vAlign w:val="bottom"/>
            <w:gridSpan w:val="2"/>
          </w:tcPr>
          <w:p>
            <w:pPr>
              <w:ind w:left="5840"/>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76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w:t>
            </w:r>
          </w:p>
        </w:tc>
        <w:tc>
          <w:tcPr>
            <w:tcW w:w="4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87"/>
              </w:rPr>
              <w:t>102.8 %</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80.1 %</w:t>
            </w:r>
          </w:p>
        </w:tc>
      </w:tr>
      <w:tr>
        <w:trPr>
          <w:trHeight w:val="203"/>
        </w:trPr>
        <w:tc>
          <w:tcPr>
            <w:tcW w:w="61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0.9 %</w:t>
            </w:r>
          </w:p>
        </w:tc>
        <w:tc>
          <w:tcPr>
            <w:tcW w:w="1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0.4 %</w:t>
            </w: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0.0 %</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174"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The Company recognizes compensation expense for its ESPP awards on a straight-line basis over the requisite service period for the entire award, typically two years. Total compensation expense related to the ESPP for the year ended December 31, 2021 and 2020 was $0.1 million and $32 thousand, respectively. The following assumptions were used to calculate stock-based compensation for each stock purchase right granted under the ESPP:</w:t>
      </w:r>
    </w:p>
    <w:p>
      <w:pPr>
        <w:spacing w:after="0" w:line="355" w:lineRule="exact"/>
        <w:rPr>
          <w:sz w:val="20"/>
          <w:szCs w:val="20"/>
          <w:color w:val="auto"/>
        </w:rPr>
      </w:pPr>
    </w:p>
    <w:tbl>
      <w:tblPr>
        <w:tblLayout w:type="fixed"/>
        <w:tblInd w:w="1420" w:type="dxa"/>
        <w:tblCellMar>
          <w:top w:w="0" w:type="dxa"/>
          <w:left w:w="0" w:type="dxa"/>
          <w:bottom w:w="0" w:type="dxa"/>
          <w:right w:w="0" w:type="dxa"/>
        </w:tblCellMar>
      </w:tblPr>
      <w:tr>
        <w:trPr>
          <w:trHeight w:val="185"/>
        </w:trPr>
        <w:tc>
          <w:tcPr>
            <w:tcW w:w="5900" w:type="dxa"/>
            <w:vAlign w:val="bottom"/>
            <w:gridSpan w:val="2"/>
          </w:tcPr>
          <w:p>
            <w:pPr>
              <w:ind w:left="552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8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4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7"/>
                <w:szCs w:val="17"/>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9"/>
              </w:rPr>
              <w:t>78.7 %</w:t>
            </w:r>
          </w:p>
        </w:tc>
        <w:tc>
          <w:tcPr>
            <w:tcW w:w="1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90.8 %</w:t>
            </w:r>
          </w:p>
        </w:tc>
      </w:tr>
      <w:tr>
        <w:trPr>
          <w:trHeight w:val="203"/>
        </w:trPr>
        <w:tc>
          <w:tcPr>
            <w:tcW w:w="59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0.1 %</w:t>
            </w:r>
          </w:p>
        </w:tc>
        <w:tc>
          <w:tcPr>
            <w:tcW w:w="16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0.2 %</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0.0 %</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0.0 %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during the years ended December 31, 2021 and 2020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820" w:type="dxa"/>
            <w:vAlign w:val="bottom"/>
            <w:tcBorders>
              <w:top w:val="single" w:sz="8" w:color="auto"/>
            </w:tcBorders>
            <w:shd w:val="clear" w:color="auto" w:fill="CFF0FC"/>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1,045</w:t>
            </w:r>
          </w:p>
        </w:tc>
        <w:tc>
          <w:tcPr>
            <w:tcW w:w="18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w:t>
            </w:r>
          </w:p>
        </w:tc>
        <w:tc>
          <w:tcPr>
            <w:tcW w:w="8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2,913</w:t>
            </w: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w:t>
            </w:r>
          </w:p>
        </w:tc>
        <w:tc>
          <w:tcPr>
            <w:tcW w:w="80" w:type="dxa"/>
            <w:vAlign w:val="bottom"/>
          </w:tcPr>
          <w:p>
            <w:pPr>
              <w:spacing w:after="0"/>
              <w:rPr>
                <w:sz w:val="17"/>
                <w:szCs w:val="17"/>
                <w:color w:val="auto"/>
              </w:rPr>
            </w:pPr>
          </w:p>
        </w:tc>
      </w:tr>
      <w:tr>
        <w:trPr>
          <w:trHeight w:val="236"/>
        </w:trPr>
        <w:tc>
          <w:tcPr>
            <w:tcW w:w="5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3,958</w:t>
            </w:r>
          </w:p>
        </w:tc>
        <w:tc>
          <w:tcPr>
            <w:tcW w:w="1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right="160" w:firstLine="509"/>
        <w:spacing w:after="0" w:line="273" w:lineRule="auto"/>
        <w:rPr>
          <w:sz w:val="20"/>
          <w:szCs w:val="20"/>
          <w:color w:val="auto"/>
        </w:rPr>
      </w:pPr>
      <w:r>
        <w:rPr>
          <w:rFonts w:ascii="Arial" w:cs="Arial" w:eastAsia="Arial" w:hAnsi="Arial"/>
          <w:sz w:val="16"/>
          <w:szCs w:val="16"/>
          <w:color w:val="auto"/>
        </w:rPr>
        <w:t>During 2020, the Company granted options to purchase 127,042 shares of common stock to certain executive officers with performance criteria stipulating that no shares will vest unless certain financing and other related milestones are achieved. In January 2021, the Board determined that the performance-based vesting criteria of such options had been satisfied, which was deemed a modification. The fair value of the modified awards was $2.4 million. For the year ended December 31, 2021, the Company recorded stock-based compensation of $0.9 million in connection with the modification.</w:t>
      </w:r>
    </w:p>
    <w:p>
      <w:pPr>
        <w:spacing w:after="0" w:line="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of December 31, 2021, there was approximately $5.7 million of unrecognized stock-based compensation expense related to stock options, which is expected to be recognized over an estimated weighted-average vesting term of 2.8 years.</w:t>
      </w:r>
    </w:p>
    <w:p>
      <w:pPr>
        <w:spacing w:after="0" w:line="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As of December 31, 2021, there was approximately $0.8 million of unrecognized stock-based compensation expense related to RSUs, which is expected to be recognized over an estimated weighted-average vesting term of 1.3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w:t>
      </w:r>
    </w:p>
    <w:p>
      <w:pPr>
        <w:spacing w:after="0" w:line="108" w:lineRule="exact"/>
        <w:rPr>
          <w:sz w:val="20"/>
          <w:szCs w:val="20"/>
          <w:color w:val="auto"/>
        </w:rPr>
      </w:pPr>
    </w:p>
    <w:p>
      <w:pPr>
        <w:jc w:val="both"/>
        <w:ind w:right="40" w:firstLine="509"/>
        <w:spacing w:after="0" w:line="294" w:lineRule="auto"/>
        <w:rPr>
          <w:sz w:val="20"/>
          <w:szCs w:val="20"/>
          <w:color w:val="auto"/>
        </w:rPr>
      </w:pPr>
      <w:r>
        <w:rPr>
          <w:rFonts w:ascii="Arial" w:cs="Arial" w:eastAsia="Arial" w:hAnsi="Arial"/>
          <w:sz w:val="16"/>
          <w:szCs w:val="16"/>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partial consideration for the rights granted to the Company under the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License Agreement.</w:t>
      </w:r>
    </w:p>
    <w:p>
      <w:pPr>
        <w:spacing w:after="0" w:line="18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Company has incurred cumulative domestic net operating losses (NOL) since inception and, consequently, has no income tax expense for the years ended December 31, 2021 and 2020 due to its net operating loss position.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the federal statutory income tax rate to the Company’s effective tax rate is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8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tax rate</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4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3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expenses</w:t>
            </w:r>
          </w:p>
        </w:tc>
        <w:tc>
          <w:tcPr>
            <w:tcW w:w="15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(0.38 )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(0.09 ) %</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5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(32.96 )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(41.38 ) %</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Prior year true-up for state net operating losses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6.96</w:t>
            </w: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4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0.38</w:t>
            </w:r>
          </w:p>
        </w:tc>
        <w:tc>
          <w:tcPr>
            <w:tcW w:w="3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4860" w:type="dxa"/>
            <w:vAlign w:val="bottom"/>
          </w:tcPr>
          <w:p>
            <w:pPr>
              <w:spacing w:after="0" w:line="176" w:lineRule="exact"/>
              <w:rPr>
                <w:sz w:val="20"/>
                <w:szCs w:val="20"/>
                <w:color w:val="auto"/>
              </w:rPr>
            </w:pPr>
            <w:r>
              <w:rPr>
                <w:rFonts w:ascii="Arial" w:cs="Arial" w:eastAsia="Arial" w:hAnsi="Arial"/>
                <w:sz w:val="18"/>
                <w:szCs w:val="18"/>
                <w:color w:val="auto"/>
              </w:rPr>
              <w:t>Effective tax rate</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w:t>
            </w:r>
          </w:p>
        </w:tc>
        <w:tc>
          <w:tcPr>
            <w:tcW w:w="4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Realization of deferred tax assets is dependent upon future earnings, if any, the timing and amount of which are uncertain. Accordingly, the net deferred tax assets have been fully offset by a valuation allowance. The net valuation allowance increased by approximately $13.9 million and $12.2 million during the years ended December 31, 2021 and 2020, respectively.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and liabilities are as follows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27,570</w:t>
            </w:r>
          </w:p>
        </w:tc>
        <w:tc>
          <w:tcPr>
            <w:tcW w:w="20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16,381</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Accruals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Tax credits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4,766</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785</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Total gross deferred tax assets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33,814</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19,459</w:t>
            </w:r>
          </w:p>
        </w:tc>
        <w:tc>
          <w:tcPr>
            <w:tcW w:w="120" w:type="dxa"/>
            <w:vAlign w:val="bottom"/>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Valuation allowance for deferred tax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(33,397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(19,459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(414 )</w:t>
            </w:r>
          </w:p>
        </w:tc>
        <w:tc>
          <w:tcPr>
            <w:tcW w:w="4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2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(3 )</w:t>
            </w:r>
          </w:p>
        </w:tc>
        <w:tc>
          <w:tcPr>
            <w:tcW w:w="400" w:type="dxa"/>
            <w:vAlign w:val="bottom"/>
          </w:tcPr>
          <w:p>
            <w:pPr>
              <w:spacing w:after="0"/>
              <w:rPr>
                <w:sz w:val="17"/>
                <w:szCs w:val="17"/>
                <w:color w:val="auto"/>
              </w:rPr>
            </w:pPr>
          </w:p>
        </w:tc>
        <w:tc>
          <w:tcPr>
            <w:tcW w:w="10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Total net deferred tax assets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-956310</wp:posOffset>
            </wp:positionV>
            <wp:extent cx="6858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-956310</wp:posOffset>
            </wp:positionV>
            <wp:extent cx="685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685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As of December 31, 2021, the Company had federal net operating loss carryforwards of approximately $98.6 million and $98.4 million in state net operating loss carryforwards. If not utilized, the federal net operating loss carryforwards incurred before January 1, 2018 will begin to expire in 2036, and state net operating loss carryforwards will begin to expire in 2036. The federal net operating losses of $91.4 million incurred in 2018 and beyond do not expire.</w:t>
      </w:r>
    </w:p>
    <w:p>
      <w:pPr>
        <w:spacing w:after="0" w:line="18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Under Sections 382 and 383 of the Internal Revenue Code (IRC) of 1986, as amended (the Code), if a corporation undergoes an “ownership change,” the company’s ability to use its pre-change net operating loss carryforwards and other pre-change attributes, such as research tax credits, to offset its post-change income may be limited. In general, an “ownership change” will occur if there is a cumulative change in ownership by “5% shareholders” that exceeds 50 percentage points over a rolling three-year period. Tax credits are subject to IRC Section 383. In the event of a change in ownership as defined by this code section, the usage of the credits may be limited. Similar rules may apply under state tax laws. As of December 31, 2020, the Company determined that an ownership change occurred on May 2, 2016 and August 7, 2020. As a result of the ownership changes, the Company derecognized an immaterial amount of net operating loss-related deferred tax assets for federal and state purposes. The ability of the Company to use its remaining net operating loss carryforwards is subject to Section 382 limitation and may be further limited if the Company experiences a Section 382 ownership change as a result of future changes in its stock ownership.</w:t>
      </w:r>
    </w:p>
    <w:p>
      <w:pPr>
        <w:spacing w:after="0" w:line="18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As of December 31, 2021, the Company had federal and state tax credit carryforwards of approximately $5.6 million and $1.0 million, respectively. If not utilized, the federal tax credits will begin to expire in 2036 and the state tax credits do not expire. As a result of the previously mentioned ownership changes, the Company derecognized in 2020 approximately $2 thousand of gross federal tax credit-related deferred tax assets due to the Section 383 limitation. The Company has not derecognized any of the state tax credit-related deferred tax assets because the credits do not expire.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Income Tax Positions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accounts for uncertainty in income taxes in accordance with ASC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be recognized in the financial statements. The tax position is measured as the largest amount of benefit that is greater than 50% likely of being realized upon ultimate settlement.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the amount of unrecognized tax benefits to materially change in the next 12 months.</w:t>
      </w:r>
    </w:p>
    <w:p>
      <w:pPr>
        <w:spacing w:after="0" w:line="212"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Company had approximately $1.6 million and $1.1 million of unrecognized tax benefits as of December 31, 2021 and 2020, respectively. No liability related to uncertain tax positions is recorded in the financial statements due to the fact the liabilities have been netted against deferred attribute carryovers. The unrecognized tax benefits would not impact the annual effective tax rate if recognized because the Company has recorded a valuation allowance on its deferred tax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balance of the unrecognized tax benefits is as follows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the beginning of the year</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1,094</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line="162" w:lineRule="exact"/>
              <w:rPr>
                <w:sz w:val="20"/>
                <w:szCs w:val="20"/>
                <w:color w:val="auto"/>
              </w:rPr>
            </w:pPr>
            <w:r>
              <w:rPr>
                <w:rFonts w:ascii="Arial" w:cs="Arial" w:eastAsia="Arial" w:hAnsi="Arial"/>
                <w:sz w:val="18"/>
                <w:szCs w:val="18"/>
                <w:color w:val="auto"/>
              </w:rPr>
              <w:t>Increase of unrecognized tax benefits taken in</w:t>
            </w:r>
          </w:p>
        </w:tc>
        <w:tc>
          <w:tcPr>
            <w:tcW w:w="8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8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Decrease of unrecognized tax benefits taken in</w:t>
            </w:r>
          </w:p>
        </w:tc>
        <w:tc>
          <w:tcPr>
            <w:tcW w:w="800" w:type="dxa"/>
            <w:vAlign w:val="bottom"/>
            <w:shd w:val="clear" w:color="auto" w:fill="CFF0FC"/>
          </w:tcPr>
          <w:p>
            <w:pPr>
              <w:spacing w:after="0"/>
              <w:rPr>
                <w:sz w:val="14"/>
                <w:szCs w:val="14"/>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(198 )</w:t>
            </w:r>
          </w:p>
        </w:tc>
        <w:tc>
          <w:tcPr>
            <w:tcW w:w="40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prior years</w:t>
            </w:r>
          </w:p>
        </w:tc>
        <w:tc>
          <w:tcPr>
            <w:tcW w:w="800" w:type="dxa"/>
            <w:vAlign w:val="bottom"/>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line="162" w:lineRule="exact"/>
              <w:rPr>
                <w:sz w:val="20"/>
                <w:szCs w:val="20"/>
                <w:color w:val="auto"/>
              </w:rPr>
            </w:pPr>
            <w:r>
              <w:rPr>
                <w:rFonts w:ascii="Arial" w:cs="Arial" w:eastAsia="Arial" w:hAnsi="Arial"/>
                <w:sz w:val="18"/>
                <w:szCs w:val="18"/>
                <w:color w:val="auto"/>
              </w:rPr>
              <w:t>Increase of unrecognized tax benefits related to</w:t>
            </w:r>
          </w:p>
        </w:tc>
        <w:tc>
          <w:tcPr>
            <w:tcW w:w="8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40"/>
              <w:spacing w:after="0" w:line="202" w:lineRule="exact"/>
              <w:rPr>
                <w:sz w:val="20"/>
                <w:szCs w:val="20"/>
                <w:color w:val="auto"/>
              </w:rPr>
            </w:pPr>
            <w:r>
              <w:rPr>
                <w:rFonts w:ascii="Arial" w:cs="Arial" w:eastAsia="Arial" w:hAnsi="Arial"/>
                <w:sz w:val="18"/>
                <w:szCs w:val="18"/>
                <w:color w:val="auto"/>
              </w:rPr>
              <w:t>current year</w:t>
            </w: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the end of the year</w:t>
            </w:r>
          </w:p>
        </w:tc>
        <w:tc>
          <w:tcPr>
            <w:tcW w:w="800" w:type="dxa"/>
            <w:vAlign w:val="bottom"/>
            <w:tcBorders>
              <w:bottom w:val="single" w:sz="8" w:color="auto"/>
            </w:tcBorders>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1,589</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Interest and penalty related to unrecognized tax benefits would be included as income tax expense in the Company’s statements of operations. As of December 31, 2021 and 2020, the Company has not recognized any tax-related penalties or interest in its financial statements.</w:t>
      </w:r>
    </w:p>
    <w:p>
      <w:pPr>
        <w:spacing w:after="0" w:line="147"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Company files income tax returns in the U.S. federal jurisdiction and California state jurisdiction. The Company is not currently under audit by the Internal Revenue Service or any other similar state, local, or foreign authority. All tax years remain open to examination by major taxing jurisdictions to which the Company is subject.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Retirement Savings Plan</w:t>
      </w:r>
    </w:p>
    <w:p>
      <w:pPr>
        <w:spacing w:after="0" w:line="10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December 2017, the Company adopted a 401(k) plan (the 401(k) Plan) for all employees who have met certain eligibility requirements. Under the agreement, employees may elect to contribute a portion of their eligible compensation, subject to certain limitations. The Company did not make any matching employer contributions to the 401(k) Plan as of and for the years ended December 31, 2021 and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9"/>
        </w:trPr>
        <w:tc>
          <w:tcPr>
            <w:tcW w:w="1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1420" w:type="dxa"/>
            <w:vAlign w:val="bottom"/>
          </w:tcPr>
          <w:p>
            <w:pPr>
              <w:spacing w:after="0"/>
              <w:rPr>
                <w:sz w:val="17"/>
                <w:szCs w:val="17"/>
                <w:color w:val="auto"/>
              </w:rPr>
            </w:pPr>
          </w:p>
        </w:tc>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10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(42,292 )</w:t>
            </w: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(29,539 )</w:t>
            </w:r>
          </w:p>
        </w:tc>
        <w:tc>
          <w:tcPr>
            <w:tcW w:w="1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3"/>
        </w:trPr>
        <w:tc>
          <w:tcPr>
            <w:tcW w:w="14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Denominator:</w:t>
            </w: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3800" w:type="dxa"/>
            <w:vAlign w:val="bottom"/>
          </w:tcPr>
          <w:p>
            <w:pPr>
              <w:ind w:left="180"/>
              <w:spacing w:after="0" w:line="202" w:lineRule="exact"/>
              <w:rPr>
                <w:sz w:val="20"/>
                <w:szCs w:val="20"/>
                <w:color w:val="auto"/>
              </w:rPr>
            </w:pPr>
            <w:r>
              <w:rPr>
                <w:rFonts w:ascii="Arial" w:cs="Arial" w:eastAsia="Arial" w:hAnsi="Arial"/>
                <w:sz w:val="18"/>
                <w:szCs w:val="18"/>
                <w:color w:val="auto"/>
                <w:w w:val="95"/>
              </w:rPr>
              <w:t>Weighted-average common shares outstanding</w:t>
            </w:r>
          </w:p>
        </w:tc>
        <w:tc>
          <w:tcPr>
            <w:tcW w:w="10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23,361,416</w:t>
            </w:r>
          </w:p>
        </w:tc>
        <w:tc>
          <w:tcPr>
            <w:tcW w:w="2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5,991,213</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0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(1.81</w:t>
            </w:r>
          </w:p>
        </w:tc>
        <w:tc>
          <w:tcPr>
            <w:tcW w:w="220" w:type="dxa"/>
            <w:vAlign w:val="bottom"/>
            <w:tcBorders>
              <w:bottom w:val="single" w:sz="8" w:color="CFF0FC"/>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41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(4.93</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r>
      <w:tr>
        <w:trPr>
          <w:trHeight w:val="615"/>
        </w:trPr>
        <w:tc>
          <w:tcPr>
            <w:tcW w:w="1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138</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5"/>
        </w:trPr>
        <w:tc>
          <w:tcPr>
            <w:tcW w:w="142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-488315</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-471170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-488315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203" w:lineRule="exact"/>
        <w:rPr>
          <w:sz w:val="20"/>
          <w:szCs w:val="20"/>
          <w:color w:val="auto"/>
        </w:rPr>
      </w:pPr>
    </w:p>
    <w:tbl>
      <w:tblPr>
        <w:tblLayout w:type="fixed"/>
        <w:tblInd w:w="142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04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Shares subject to outstanding common stock options</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2,215,942</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2,278,771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Shares subject to outstanding restricted stock units</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460,000</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Estimated shares issuable under the employee stock</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67,253</w:t>
            </w: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24,118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4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2,743,195</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2,302,889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3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November 2021, Richard King retired and resigned from his positions as the Company’s Chief Executive Officer and member of the Board.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Mr. King’s departure, the Company and Mr. King entered into a separation and release agreement effective as of November 15, 2021, or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Separation Agreement. Pursuant to the Separation Agreement, Mr. King was entitled to receive an amount equal to 12 months of his base salary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($500,000 per year), which was paid in a single lump sum payment in January 2022, and continued coverage under COBRA for 12 months. In addition,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Separation Agreement provided that all vested options held by Mr. King as of the separation date be exercisable through June 30, 2023.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recorded stock compensation charges of $90 thousand in connection with extending the option exercise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Grant of Stock Options and RSUs</w:t>
      </w:r>
    </w:p>
    <w:p>
      <w:pPr>
        <w:spacing w:after="0" w:line="239"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In January 2022, the Company granted options to purchase an aggregate of 1,146,500 shares of common stock to employees. In addition, the Company granted RSUs to employees underlying 92,200 shares of common stock.</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Shelf Registration and Sales Agreement</w:t>
      </w:r>
    </w:p>
    <w:p>
      <w:pPr>
        <w:spacing w:after="0" w:line="239" w:lineRule="exact"/>
        <w:rPr>
          <w:sz w:val="20"/>
          <w:szCs w:val="20"/>
          <w:color w:val="auto"/>
        </w:rPr>
      </w:pPr>
    </w:p>
    <w:p>
      <w:pPr>
        <w:ind w:right="60" w:firstLine="749"/>
        <w:spacing w:after="0" w:line="236" w:lineRule="auto"/>
        <w:rPr>
          <w:sz w:val="20"/>
          <w:szCs w:val="20"/>
          <w:color w:val="auto"/>
        </w:rPr>
      </w:pPr>
      <w:r>
        <w:rPr>
          <w:rFonts w:ascii="Arial" w:cs="Arial" w:eastAsia="Arial" w:hAnsi="Arial"/>
          <w:sz w:val="17"/>
          <w:szCs w:val="17"/>
          <w:color w:val="auto"/>
        </w:rPr>
        <w:t>In February 2022, the SEC declared effective a registration statement on Form S-3 (No.333-261960), or the Shelf Registration, covering the sale of up to $200.0 million of our securities. Also, in February 2022, the Company entered into an Open Market Sales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with Jefferies LLC (Jefferies) pursuant to which the Company may elect to issue and sell, from time to time, shares of common stock having an aggregate offering price of up to $21.0 million under the Shelf Registration through Jefferies acting as the sales agent and/or principal.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2021.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w:t>
      </w:r>
    </w:p>
    <w:p>
      <w:pPr>
        <w:spacing w:after="0" w:line="172"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9"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As of December 31, 2021, our management assessed the effectiveness of our internal control over financial reporting using the criteria set forth by the Committee of Sponsoring Organizations of the Treadway Commission in Internal Control-Integrated Framework (2013). Based on this assessment, our management concluded that, as of December 31, 2021, our internal control over financial reporting was effective based on those criteria.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0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2021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Executive Officer</w:t>
      </w:r>
    </w:p>
    <w:p>
      <w:pPr>
        <w:spacing w:after="0" w:line="21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On March 11, 2022, or the Separation Date, Rosh Dias, M.D., MRCP, resigned from his position as our Chief Medical Officer, effective immediately. In connection with Dr. Dias’s departure, we and Dr. Dias have entered into a separation and release agreement, or the Separation Agreement, effective as of March 11, 2022. Pursuant to the Separation Agreement, in exchange for granting and not revoking a customary release of claims, Dr. Dias will be entitled to receive an amount equal to nine months of salary continuation at his base salary rate of $442,900 per year, or $332,175, payable in a single lump sum payment on April 29, 2022, and continued coverage under COBRA equal to nine months (consistent with what Dr. Dias was entitled to for a “Regular Termination” pursuant to the Spruce Biosciences, Inc. Severance and Change in Control Plan, dated September 9, 2020, or the Severance Plan, and the signed Participation Agreement between our company and Dr. Dias in connection therewith). The Separation Agreement contains a reaffirmation of Dr. Dias’s confidentiality obligations to our Company. The foregoing description of the Separation Agreement is not complete and is qualified in its entirety by reference to the text of the Separation Agreement, which is filed as Exhibit 10.23 to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Chief Medical Officer</w:t>
      </w:r>
    </w:p>
    <w:p>
      <w:pPr>
        <w:spacing w:after="0" w:line="108"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On March 14, 2022, our board of directors appointed Ralph William Charlton III, M.D., M.A.S., as our Chief Medical Officer, effective March 28, 2022, or the Start Date. Dr. Charlton will succeed Rosh Dias, M.D., MRCP, who resigned from his position as Chief Medical Officer on March 11, 2022.</w:t>
      </w:r>
    </w:p>
    <w:p>
      <w:pPr>
        <w:spacing w:after="0" w:line="11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Dr. Charlton, age 52, previously served as Vice President, Clinical Development for 89bio, Inc., a biotechnology company, from November 2020 to February 2022. Prior to joining 89bio, Dr. Charlton served as Senior Medical Director, Clinical Development for Ascendis Pharma, a biopharmaceutical company, from May 2019 to November 2020. From July 2018 to May 2019, Dr. Charlton served as Executive Medical Director for Allergan, Inc., a pharmaceutical company. From May 2017 to May 2019, Dr. Charlton served as a consultant to Soleno Therapeutics, Inc., a biotechnology company. Dr. Charlton received an M.D. from the University of Southern California Keck School of Medicine and a Master of Advanced Studies in Clinical Research from the University of California, San Francisco School of Medicine.</w:t>
      </w:r>
    </w:p>
    <w:p>
      <w:pPr>
        <w:spacing w:after="0" w:line="18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In connection with Dr. Charlton’s appointment, we entered into an offer letter with Dr. Charlton dated March 14, 2022, or the Offer Letter. Under the terms of the Offer Letter, Dr. Charlton will receive an annual base salary of $400,000 per year. He is eligible to receive an annual performance bonus of up to 40% of his base salary based on the attainment of corporate performance metrics and individual performance objectives, in each case established and evaluated by our board of directors or the compensation committee of our board of directors, or the Compensation Committee, in its sole good faith discretion. Upon recommendation of the Compensation Committee and pursuant to the Offer Letter, our board of directors granted Dr. Charlton an option to purchase 250,000 shares of our common stock, or the Option Award, contingent and effective upon his start date. The Option Award will vest over a period of four years, with 25% of the shares subject to the Option Award vesting on the first anniversary of the Start Date, and the remaining shares subject to the Option Award vesting in 36 equal monthly installments thereafter, in each case subject to Dr. Charlton’s continuous service through the applicable vesting dates. The Option Award will have a per share exercise price equal to the closing sales price on the Nasdaq Global Select Market on April 1, 2022.</w:t>
      </w:r>
    </w:p>
    <w:p>
      <w:pPr>
        <w:spacing w:after="0" w:line="168"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Dr. Charlton will be eligible to participate in our Severance Plan, a copy of which is filed as Exhibit 10.10 to this Annual Report on Form 10-K. Dr. Charlton will enter into our standard form of Indemnity Agreement for directors and executive officers. There is no arrangement or understanding between Dr. Charlton and any other person pursuant to which he was selected as an executive officer of our company, and there are no family relationships between Dr. Charlton and any of our directors or executive officers. There are no transactions to which we are a party and in which Dr. Charlton has a direct or indirect material interest that would be required to be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disclosed under Item 404(a) of Regulation S-K. The foregoing description of the Offer Letter is not complete and is qualified in its entirety by reference to the text of the Offer Letter, which is filed as Exhibit 10.24 to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 information required by this item is set forth in our definitive proxy statement to be filed with respect to the 2022 annual meeting of stockholders (the “Proxy Statement”), all of which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maintain a Code of Conduct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www.sprucebiosciences.com. The information on our website is not incorporated by reference into this Annual Report or our Proxy Statement.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3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(a)(1)</w:t>
        <w:tab/>
        <w:t>Financial Statements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3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schedules are omitted as information required is inapplicable or the information is presented in the financial statements and the related notes.</w:t>
      </w:r>
    </w:p>
    <w:p>
      <w:pPr>
        <w:spacing w:after="0" w:line="3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(a)(3)</w:t>
        <w:tab/>
        <w:t>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8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ind w:left="20"/>
              <w:spacing w:after="0" w:line="15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28"/>
          </w:tcPr>
          <w:p>
            <w:pPr>
              <w:spacing w:after="0" w:line="156" w:lineRule="exact"/>
              <w:rPr>
                <w:rFonts w:ascii="Arial" w:cs="Arial" w:eastAsia="Arial" w:hAnsi="Arial"/>
                <w:sz w:val="18"/>
                <w:szCs w:val="18"/>
                <w:color w:val="0563C1"/>
                <w:w w:val="95"/>
              </w:rPr>
            </w:pPr>
            <w:hyperlink r:id="rId450">
              <w:r>
                <w:rPr>
                  <w:rFonts w:ascii="Arial" w:cs="Arial" w:eastAsia="Arial" w:hAnsi="Arial"/>
                  <w:sz w:val="18"/>
                  <w:szCs w:val="18"/>
                  <w:color w:val="0563C1"/>
                  <w:w w:val="95"/>
                </w:rPr>
                <w:t>Amended and Restated Certificate of Incorporation (filed as Exhibit 3.1 to the registrant’s Current Report on Form 8-K, filed with the</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563C1"/>
              <w:bottom w:val="single" w:sz="8" w:color="0563C1"/>
            </w:tcBorders>
            <w:gridSpan w:val="6"/>
          </w:tcPr>
          <w:p>
            <w:pPr>
              <w:spacing w:after="0" w:line="156" w:lineRule="exact"/>
              <w:rPr>
                <w:rFonts w:ascii="Arial" w:cs="Arial" w:eastAsia="Arial" w:hAnsi="Arial"/>
                <w:sz w:val="18"/>
                <w:szCs w:val="18"/>
                <w:color w:val="0563C1"/>
                <w:w w:val="89"/>
              </w:rPr>
            </w:pPr>
            <w:hyperlink r:id="rId450">
              <w:r>
                <w:rPr>
                  <w:rFonts w:ascii="Arial" w:cs="Arial" w:eastAsia="Arial" w:hAnsi="Arial"/>
                  <w:sz w:val="18"/>
                  <w:szCs w:val="18"/>
                  <w:color w:val="0563C1"/>
                  <w:w w:val="89"/>
                </w:rPr>
                <w:t>SEC on October 14, 2020, and incorporated by reference herein).</w:t>
              </w:r>
            </w:hyperlink>
          </w:p>
        </w:tc>
        <w:tc>
          <w:tcPr>
            <w:tcW w:w="4980" w:type="dxa"/>
            <w:vAlign w:val="bottom"/>
            <w:tcBorders>
              <w:top w:val="single" w:sz="8" w:color="0563C1"/>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8"/>
          </w:tcPr>
          <w:p>
            <w:pPr>
              <w:spacing w:after="0" w:line="169" w:lineRule="exact"/>
              <w:rPr>
                <w:rFonts w:ascii="Arial" w:cs="Arial" w:eastAsia="Arial" w:hAnsi="Arial"/>
                <w:sz w:val="18"/>
                <w:szCs w:val="18"/>
                <w:color w:val="0563C1"/>
                <w:w w:val="94"/>
              </w:rPr>
            </w:pPr>
            <w:hyperlink r:id="rId451">
              <w:r>
                <w:rPr>
                  <w:rFonts w:ascii="Arial" w:cs="Arial" w:eastAsia="Arial" w:hAnsi="Arial"/>
                  <w:sz w:val="18"/>
                  <w:szCs w:val="18"/>
                  <w:color w:val="0563C1"/>
                  <w:w w:val="94"/>
                </w:rPr>
                <w:t>Amended and Restated Bylaws (filed as Exhibit 3.2 to the registrant’s Current Report on Form 8-K, filed with the SEC on October 14,</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563C1"/>
            </w:tcBorders>
            <w:gridSpan w:val="18"/>
          </w:tcPr>
          <w:p>
            <w:pPr>
              <w:spacing w:after="0" w:line="156" w:lineRule="exact"/>
              <w:rPr>
                <w:rFonts w:ascii="Arial" w:cs="Arial" w:eastAsia="Arial" w:hAnsi="Arial"/>
                <w:sz w:val="18"/>
                <w:szCs w:val="18"/>
                <w:color w:val="0563C1"/>
              </w:rPr>
            </w:pPr>
            <w:hyperlink r:id="rId451">
              <w:r>
                <w:rPr>
                  <w:rFonts w:ascii="Arial" w:cs="Arial" w:eastAsia="Arial" w:hAnsi="Arial"/>
                  <w:sz w:val="18"/>
                  <w:szCs w:val="18"/>
                  <w:color w:val="0563C1"/>
                </w:rPr>
                <w:t>2020, and incorporated by reference herein)</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563C1"/>
            </w:tcBorders>
            <w:gridSpan w:val="3"/>
          </w:tcPr>
          <w:p>
            <w:pPr>
              <w:spacing w:after="0" w:line="169" w:lineRule="exact"/>
              <w:rPr>
                <w:rFonts w:ascii="Arial" w:cs="Arial" w:eastAsia="Arial" w:hAnsi="Arial"/>
                <w:sz w:val="18"/>
                <w:szCs w:val="18"/>
                <w:color w:val="0563C1"/>
                <w:w w:val="91"/>
              </w:rPr>
            </w:pPr>
            <w:hyperlink r:id="rId452">
              <w:r>
                <w:rPr>
                  <w:rFonts w:ascii="Arial" w:cs="Arial" w:eastAsia="Arial" w:hAnsi="Arial"/>
                  <w:sz w:val="18"/>
                  <w:szCs w:val="18"/>
                  <w:color w:val="0563C1"/>
                  <w:w w:val="91"/>
                </w:rPr>
                <w:t>Form of Common Stock Certificate (filed as</w:t>
              </w:r>
            </w:hyperlink>
          </w:p>
        </w:tc>
        <w:tc>
          <w:tcPr>
            <w:tcW w:w="6820" w:type="dxa"/>
            <w:vAlign w:val="bottom"/>
            <w:gridSpan w:val="25"/>
          </w:tcPr>
          <w:p>
            <w:pPr>
              <w:ind w:left="80"/>
              <w:spacing w:after="0" w:line="169" w:lineRule="exact"/>
              <w:rPr>
                <w:rFonts w:ascii="Arial" w:cs="Arial" w:eastAsia="Arial" w:hAnsi="Arial"/>
                <w:sz w:val="18"/>
                <w:szCs w:val="18"/>
                <w:color w:val="0563C1"/>
                <w:w w:val="95"/>
              </w:rPr>
            </w:pPr>
            <w:hyperlink r:id="rId452">
              <w:r>
                <w:rPr>
                  <w:rFonts w:ascii="Arial" w:cs="Arial" w:eastAsia="Arial" w:hAnsi="Arial"/>
                  <w:sz w:val="18"/>
                  <w:szCs w:val="18"/>
                  <w:color w:val="0563C1"/>
                  <w:w w:val="95"/>
                </w:rPr>
                <w:t>Exhibit 4.1 to the registrant’s Registration Statement on Form S-1, as amended (File No.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563C1"/>
            </w:tcBorders>
            <w:gridSpan w:val="14"/>
          </w:tcPr>
          <w:p>
            <w:pPr>
              <w:spacing w:after="0" w:line="156" w:lineRule="exact"/>
              <w:rPr>
                <w:rFonts w:ascii="Arial" w:cs="Arial" w:eastAsia="Arial" w:hAnsi="Arial"/>
                <w:sz w:val="18"/>
                <w:szCs w:val="18"/>
                <w:color w:val="0563C1"/>
              </w:rPr>
            </w:pPr>
            <w:hyperlink r:id="rId452">
              <w:r>
                <w:rPr>
                  <w:rFonts w:ascii="Arial" w:cs="Arial" w:eastAsia="Arial" w:hAnsi="Arial"/>
                  <w:sz w:val="18"/>
                  <w:szCs w:val="18"/>
                  <w:color w:val="0563C1"/>
                </w:rPr>
                <w:t>333-248924), filed with the SEC on October 5, 2020, and incorporated by 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20" w:type="dxa"/>
            <w:vAlign w:val="bottom"/>
            <w:tcBorders>
              <w:top w:val="single" w:sz="8" w:color="0563C1"/>
            </w:tcBorders>
            <w:gridSpan w:val="9"/>
          </w:tcPr>
          <w:p>
            <w:pPr>
              <w:spacing w:after="0" w:line="169" w:lineRule="exact"/>
              <w:rPr>
                <w:rFonts w:ascii="Arial" w:cs="Arial" w:eastAsia="Arial" w:hAnsi="Arial"/>
                <w:sz w:val="18"/>
                <w:szCs w:val="18"/>
                <w:color w:val="0563C1"/>
                <w:w w:val="88"/>
              </w:rPr>
            </w:pPr>
            <w:hyperlink r:id="rId453">
              <w:r>
                <w:rPr>
                  <w:rFonts w:ascii="Arial" w:cs="Arial" w:eastAsia="Arial" w:hAnsi="Arial"/>
                  <w:sz w:val="18"/>
                  <w:szCs w:val="18"/>
                  <w:color w:val="0563C1"/>
                  <w:w w:val="88"/>
                </w:rPr>
                <w:t>Amended and Restated Investors’ Rights Agreement, by and among the registrant and certain</w:t>
              </w:r>
            </w:hyperlink>
          </w:p>
        </w:tc>
        <w:tc>
          <w:tcPr>
            <w:tcW w:w="3360" w:type="dxa"/>
            <w:vAlign w:val="bottom"/>
            <w:gridSpan w:val="19"/>
          </w:tcPr>
          <w:p>
            <w:pPr>
              <w:ind w:left="160"/>
              <w:spacing w:after="0" w:line="169" w:lineRule="exact"/>
              <w:rPr>
                <w:rFonts w:ascii="Arial" w:cs="Arial" w:eastAsia="Arial" w:hAnsi="Arial"/>
                <w:sz w:val="18"/>
                <w:szCs w:val="18"/>
                <w:color w:val="0563C1"/>
                <w:w w:val="90"/>
              </w:rPr>
            </w:pPr>
            <w:hyperlink r:id="rId453">
              <w:r>
                <w:rPr>
                  <w:rFonts w:ascii="Arial" w:cs="Arial" w:eastAsia="Arial" w:hAnsi="Arial"/>
                  <w:sz w:val="18"/>
                  <w:szCs w:val="18"/>
                  <w:color w:val="0563C1"/>
                  <w:w w:val="90"/>
                </w:rPr>
                <w:t>of its stockholders, dated February 19, 2020</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563C1"/>
            </w:tcBorders>
            <w:gridSpan w:val="27"/>
          </w:tcPr>
          <w:p>
            <w:pPr>
              <w:spacing w:after="0" w:line="156" w:lineRule="exact"/>
              <w:rPr>
                <w:rFonts w:ascii="Arial" w:cs="Arial" w:eastAsia="Arial" w:hAnsi="Arial"/>
                <w:sz w:val="18"/>
                <w:szCs w:val="18"/>
                <w:color w:val="0563C1"/>
                <w:w w:val="94"/>
              </w:rPr>
            </w:pPr>
            <w:hyperlink r:id="rId453">
              <w:r>
                <w:rPr>
                  <w:rFonts w:ascii="Arial" w:cs="Arial" w:eastAsia="Arial" w:hAnsi="Arial"/>
                  <w:sz w:val="18"/>
                  <w:szCs w:val="18"/>
                  <w:color w:val="0563C1"/>
                  <w:w w:val="94"/>
                </w:rPr>
                <w:t>(filed as Exhibit 4.2 to the registrant’s Registration Statement on Form S-1, as amended (File No. 333-248924), filed with the SEC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563C1"/>
            </w:tcBorders>
            <w:gridSpan w:val="15"/>
          </w:tcPr>
          <w:p>
            <w:pPr>
              <w:spacing w:after="0" w:line="156" w:lineRule="exact"/>
              <w:rPr>
                <w:rFonts w:ascii="Arial" w:cs="Arial" w:eastAsia="Arial" w:hAnsi="Arial"/>
                <w:sz w:val="18"/>
                <w:szCs w:val="18"/>
                <w:color w:val="0563C1"/>
              </w:rPr>
            </w:pPr>
            <w:hyperlink r:id="rId453">
              <w:r>
                <w:rPr>
                  <w:rFonts w:ascii="Arial" w:cs="Arial" w:eastAsia="Arial" w:hAnsi="Arial"/>
                  <w:sz w:val="18"/>
                  <w:szCs w:val="18"/>
                  <w:color w:val="0563C1"/>
                </w:rPr>
                <w:t>September 18, 2020, and incorporated by reference herein).</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563C1"/>
            </w:tcBorders>
            <w:gridSpan w:val="4"/>
          </w:tcPr>
          <w:p>
            <w:pPr>
              <w:spacing w:after="0" w:line="169" w:lineRule="exact"/>
              <w:rPr>
                <w:rFonts w:ascii="Arial" w:cs="Arial" w:eastAsia="Arial" w:hAnsi="Arial"/>
                <w:sz w:val="18"/>
                <w:szCs w:val="18"/>
                <w:color w:val="0563C1"/>
                <w:w w:val="88"/>
              </w:rPr>
            </w:pPr>
            <w:hyperlink r:id="rId454">
              <w:r>
                <w:rPr>
                  <w:rFonts w:ascii="Arial" w:cs="Arial" w:eastAsia="Arial" w:hAnsi="Arial"/>
                  <w:sz w:val="18"/>
                  <w:szCs w:val="18"/>
                  <w:color w:val="0563C1"/>
                  <w:w w:val="88"/>
                </w:rPr>
                <w:t>Warrant to Purchase Common Stock issued to Silicon Valley</w:t>
              </w:r>
            </w:hyperlink>
          </w:p>
        </w:tc>
        <w:tc>
          <w:tcPr>
            <w:tcW w:w="5700" w:type="dxa"/>
            <w:vAlign w:val="bottom"/>
            <w:gridSpan w:val="24"/>
          </w:tcPr>
          <w:p>
            <w:pPr>
              <w:ind w:left="120"/>
              <w:spacing w:after="0" w:line="169" w:lineRule="exact"/>
              <w:rPr>
                <w:rFonts w:ascii="Arial" w:cs="Arial" w:eastAsia="Arial" w:hAnsi="Arial"/>
                <w:sz w:val="18"/>
                <w:szCs w:val="18"/>
                <w:color w:val="0563C1"/>
                <w:w w:val="98"/>
              </w:rPr>
            </w:pPr>
            <w:hyperlink r:id="rId454">
              <w:r>
                <w:rPr>
                  <w:rFonts w:ascii="Arial" w:cs="Arial" w:eastAsia="Arial" w:hAnsi="Arial"/>
                  <w:sz w:val="18"/>
                  <w:szCs w:val="18"/>
                  <w:color w:val="0563C1"/>
                  <w:w w:val="98"/>
                </w:rPr>
                <w:t>Bank, dated September 23, 2019 (filed as Exhibit 4.3 to the registrant’s</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563C1"/>
            </w:tcBorders>
            <w:gridSpan w:val="13"/>
          </w:tcPr>
          <w:p>
            <w:pPr>
              <w:spacing w:after="0" w:line="156" w:lineRule="exact"/>
              <w:rPr>
                <w:rFonts w:ascii="Arial" w:cs="Arial" w:eastAsia="Arial" w:hAnsi="Arial"/>
                <w:sz w:val="18"/>
                <w:szCs w:val="18"/>
                <w:color w:val="0563C1"/>
                <w:w w:val="89"/>
              </w:rPr>
            </w:pPr>
            <w:hyperlink r:id="rId454">
              <w:r>
                <w:rPr>
                  <w:rFonts w:ascii="Arial" w:cs="Arial" w:eastAsia="Arial" w:hAnsi="Arial"/>
                  <w:sz w:val="18"/>
                  <w:szCs w:val="18"/>
                  <w:color w:val="0563C1"/>
                  <w:w w:val="89"/>
                </w:rPr>
                <w:t>Registration Statement on Form S-1, as amended (File No. 333-248924), filed with the SEC on September 18, 2020, and incorporated</w:t>
              </w:r>
            </w:hyperlink>
          </w:p>
        </w:tc>
        <w:tc>
          <w:tcPr>
            <w:tcW w:w="420" w:type="dxa"/>
            <w:vAlign w:val="bottom"/>
            <w:gridSpan w:val="15"/>
          </w:tcPr>
          <w:p>
            <w:pPr>
              <w:ind w:left="120"/>
              <w:spacing w:after="0" w:line="156" w:lineRule="exact"/>
              <w:rPr>
                <w:rFonts w:ascii="Arial" w:cs="Arial" w:eastAsia="Arial" w:hAnsi="Arial"/>
                <w:sz w:val="18"/>
                <w:szCs w:val="18"/>
                <w:color w:val="0563C1"/>
              </w:rPr>
            </w:pPr>
            <w:hyperlink r:id="rId454">
              <w:r>
                <w:rPr>
                  <w:rFonts w:ascii="Arial" w:cs="Arial" w:eastAsia="Arial" w:hAnsi="Arial"/>
                  <w:sz w:val="18"/>
                  <w:szCs w:val="18"/>
                  <w:color w:val="0563C1"/>
                </w:rPr>
                <w:t>by</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563C1"/>
            </w:tcBorders>
            <w:gridSpan w:val="26"/>
          </w:tcPr>
          <w:p>
            <w:pPr>
              <w:spacing w:after="0" w:line="156" w:lineRule="exact"/>
              <w:rPr>
                <w:rFonts w:ascii="Arial" w:cs="Arial" w:eastAsia="Arial" w:hAnsi="Arial"/>
                <w:sz w:val="18"/>
                <w:szCs w:val="18"/>
                <w:color w:val="0563C1"/>
              </w:rPr>
            </w:pPr>
            <w:hyperlink r:id="rId454">
              <w:r>
                <w:rPr>
                  <w:rFonts w:ascii="Arial" w:cs="Arial" w:eastAsia="Arial" w:hAnsi="Arial"/>
                  <w:sz w:val="18"/>
                  <w:szCs w:val="18"/>
                  <w:color w:val="0563C1"/>
                </w:rPr>
                <w:t>reference herein).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8"/>
          </w:tcPr>
          <w:p>
            <w:pPr>
              <w:spacing w:after="0" w:line="169" w:lineRule="exact"/>
              <w:rPr>
                <w:rFonts w:ascii="Arial" w:cs="Arial" w:eastAsia="Arial" w:hAnsi="Arial"/>
                <w:sz w:val="18"/>
                <w:szCs w:val="18"/>
                <w:color w:val="0563C1"/>
                <w:w w:val="92"/>
              </w:rPr>
            </w:pPr>
            <w:hyperlink r:id="rId455">
              <w:r>
                <w:rPr>
                  <w:rFonts w:ascii="Arial" w:cs="Arial" w:eastAsia="Arial" w:hAnsi="Arial"/>
                  <w:sz w:val="18"/>
                  <w:szCs w:val="18"/>
                  <w:color w:val="0563C1"/>
                  <w:w w:val="92"/>
                </w:rPr>
                <w:t>Description of Common Stock of the registrant (filed as Exhibit 4.4 to the registrant's Annual Report on Form 10-K (File No. 001-39594),</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563C1"/>
            </w:tcBorders>
            <w:gridSpan w:val="27"/>
          </w:tcPr>
          <w:p>
            <w:pPr>
              <w:spacing w:after="0" w:line="156" w:lineRule="exact"/>
              <w:rPr>
                <w:rFonts w:ascii="Arial" w:cs="Arial" w:eastAsia="Arial" w:hAnsi="Arial"/>
                <w:sz w:val="18"/>
                <w:szCs w:val="18"/>
                <w:color w:val="0563C1"/>
              </w:rPr>
            </w:pPr>
            <w:hyperlink r:id="rId455">
              <w:r>
                <w:rPr>
                  <w:rFonts w:ascii="Arial" w:cs="Arial" w:eastAsia="Arial" w:hAnsi="Arial"/>
                  <w:sz w:val="18"/>
                  <w:szCs w:val="18"/>
                  <w:color w:val="0563C1"/>
                </w:rPr>
                <w:t>filed with the SEC on March 22, 2021, and incorporated by reference herein).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563C1"/>
              <w:bottom w:val="single" w:sz="8" w:color="0563C1"/>
            </w:tcBorders>
            <w:gridSpan w:val="7"/>
          </w:tcPr>
          <w:p>
            <w:pPr>
              <w:spacing w:after="0" w:line="169" w:lineRule="exact"/>
              <w:rPr>
                <w:rFonts w:ascii="Arial" w:cs="Arial" w:eastAsia="Arial" w:hAnsi="Arial"/>
                <w:sz w:val="18"/>
                <w:szCs w:val="18"/>
                <w:color w:val="0563C1"/>
                <w:w w:val="91"/>
              </w:rPr>
            </w:pPr>
            <w:hyperlink r:id="rId456">
              <w:r>
                <w:rPr>
                  <w:rFonts w:ascii="Arial" w:cs="Arial" w:eastAsia="Arial" w:hAnsi="Arial"/>
                  <w:sz w:val="18"/>
                  <w:szCs w:val="18"/>
                  <w:color w:val="0563C1"/>
                  <w:w w:val="91"/>
                </w:rPr>
                <w:t>Spruce Biosciences, Inc. Amended and Restated 2016 Equity Incentive Plan</w:t>
              </w:r>
            </w:hyperlink>
          </w:p>
        </w:tc>
        <w:tc>
          <w:tcPr>
            <w:tcW w:w="3740" w:type="dxa"/>
            <w:vAlign w:val="bottom"/>
            <w:tcBorders>
              <w:bottom w:val="single" w:sz="8" w:color="0563C1"/>
            </w:tcBorders>
            <w:gridSpan w:val="5"/>
          </w:tcPr>
          <w:p>
            <w:pPr>
              <w:spacing w:after="0" w:line="169" w:lineRule="exact"/>
              <w:rPr>
                <w:rFonts w:ascii="Arial" w:cs="Arial" w:eastAsia="Arial" w:hAnsi="Arial"/>
                <w:sz w:val="18"/>
                <w:szCs w:val="18"/>
                <w:color w:val="0563C1"/>
                <w:w w:val="91"/>
              </w:rPr>
            </w:pPr>
            <w:hyperlink r:id="rId456">
              <w:r>
                <w:rPr>
                  <w:rFonts w:ascii="Arial" w:cs="Arial" w:eastAsia="Arial" w:hAnsi="Arial"/>
                  <w:sz w:val="18"/>
                  <w:szCs w:val="18"/>
                  <w:color w:val="0563C1"/>
                  <w:w w:val="91"/>
                </w:rPr>
                <w:t>(filed as Exhibit 10.1 to the registrant’s Registration</w:t>
              </w:r>
            </w:hyperlink>
          </w:p>
        </w:tc>
        <w:tc>
          <w:tcPr>
            <w:tcW w:w="66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28"/>
          </w:tcPr>
          <w:p>
            <w:pPr>
              <w:spacing w:after="0" w:line="156" w:lineRule="exact"/>
              <w:rPr>
                <w:rFonts w:ascii="Arial" w:cs="Arial" w:eastAsia="Arial" w:hAnsi="Arial"/>
                <w:sz w:val="18"/>
                <w:szCs w:val="18"/>
                <w:color w:val="0563C1"/>
                <w:w w:val="92"/>
              </w:rPr>
            </w:pPr>
            <w:hyperlink r:id="rId456">
              <w:r>
                <w:rPr>
                  <w:rFonts w:ascii="Arial" w:cs="Arial" w:eastAsia="Arial" w:hAnsi="Arial"/>
                  <w:sz w:val="18"/>
                  <w:szCs w:val="18"/>
                  <w:color w:val="0563C1"/>
                  <w:w w:val="92"/>
                </w:rPr>
                <w:t>Statement on Form S-1, as amended (File No. 333-248924), filed with the SEC on September 18, 2020, and incorporated by reference</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8"/>
              </w:rPr>
            </w:pPr>
            <w:hyperlink r:id="rId456">
              <w:r>
                <w:rPr>
                  <w:rFonts w:ascii="Arial" w:cs="Arial" w:eastAsia="Arial" w:hAnsi="Arial"/>
                  <w:sz w:val="18"/>
                  <w:szCs w:val="18"/>
                  <w:color w:val="0563C1"/>
                  <w:w w:val="88"/>
                </w:rPr>
                <w:t>herein).</w:t>
              </w:r>
            </w:hyperlink>
          </w:p>
        </w:tc>
        <w:tc>
          <w:tcPr>
            <w:tcW w:w="9140" w:type="dxa"/>
            <w:vAlign w:val="bottom"/>
            <w:tcBorders>
              <w:top w:val="single" w:sz="8" w:color="0563C1"/>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8"/>
          </w:tcPr>
          <w:p>
            <w:pPr>
              <w:spacing w:after="0" w:line="169" w:lineRule="exact"/>
              <w:rPr>
                <w:rFonts w:ascii="Arial" w:cs="Arial" w:eastAsia="Arial" w:hAnsi="Arial"/>
                <w:sz w:val="18"/>
                <w:szCs w:val="18"/>
                <w:color w:val="0563C1"/>
                <w:w w:val="91"/>
              </w:rPr>
            </w:pPr>
            <w:hyperlink r:id="rId457">
              <w:r>
                <w:rPr>
                  <w:rFonts w:ascii="Arial" w:cs="Arial" w:eastAsia="Arial" w:hAnsi="Arial"/>
                  <w:sz w:val="18"/>
                  <w:szCs w:val="18"/>
                  <w:color w:val="0563C1"/>
                  <w:w w:val="91"/>
                </w:rPr>
                <w:t>Forms of Grant Notice, Stock Option Agreement and Notice of Exercise under the Spruce Biosciences, Inc. Amended and Restated 2016</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563C1"/>
            </w:tcBorders>
            <w:gridSpan w:val="24"/>
          </w:tcPr>
          <w:p>
            <w:pPr>
              <w:spacing w:after="0" w:line="156" w:lineRule="exact"/>
              <w:rPr>
                <w:rFonts w:ascii="Arial" w:cs="Arial" w:eastAsia="Arial" w:hAnsi="Arial"/>
                <w:sz w:val="18"/>
                <w:szCs w:val="18"/>
                <w:color w:val="0563C1"/>
                <w:w w:val="92"/>
              </w:rPr>
            </w:pPr>
            <w:hyperlink r:id="rId457">
              <w:r>
                <w:rPr>
                  <w:rFonts w:ascii="Arial" w:cs="Arial" w:eastAsia="Arial" w:hAnsi="Arial"/>
                  <w:sz w:val="18"/>
                  <w:szCs w:val="18"/>
                  <w:color w:val="0563C1"/>
                  <w:w w:val="92"/>
                </w:rPr>
                <w:t>Equity Incentive Plan (filed as Exhibit 10.2 to the registrant’s Registration Statement on Form S-1, as amended (File No. 333-248924),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563C1"/>
            </w:tcBorders>
            <w:gridSpan w:val="19"/>
          </w:tcPr>
          <w:p>
            <w:pPr>
              <w:spacing w:after="0" w:line="156" w:lineRule="exact"/>
              <w:rPr>
                <w:rFonts w:ascii="Arial" w:cs="Arial" w:eastAsia="Arial" w:hAnsi="Arial"/>
                <w:sz w:val="18"/>
                <w:szCs w:val="18"/>
                <w:color w:val="0563C1"/>
              </w:rPr>
            </w:pPr>
            <w:hyperlink r:id="rId457">
              <w:r>
                <w:rPr>
                  <w:rFonts w:ascii="Arial" w:cs="Arial" w:eastAsia="Arial" w:hAnsi="Arial"/>
                  <w:sz w:val="18"/>
                  <w:szCs w:val="18"/>
                  <w:color w:val="0563C1"/>
                </w:rPr>
                <w:t>filed with the SEC on September 18, 2020, and incorporated by reference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563C1"/>
            </w:tcBorders>
            <w:gridSpan w:val="8"/>
          </w:tcPr>
          <w:p>
            <w:pPr>
              <w:spacing w:after="0" w:line="169" w:lineRule="exact"/>
              <w:rPr>
                <w:rFonts w:ascii="Arial" w:cs="Arial" w:eastAsia="Arial" w:hAnsi="Arial"/>
                <w:sz w:val="18"/>
                <w:szCs w:val="18"/>
                <w:color w:val="0563C1"/>
                <w:w w:val="92"/>
              </w:rPr>
            </w:pPr>
            <w:hyperlink r:id="rId458">
              <w:r>
                <w:rPr>
                  <w:rFonts w:ascii="Arial" w:cs="Arial" w:eastAsia="Arial" w:hAnsi="Arial"/>
                  <w:sz w:val="18"/>
                  <w:szCs w:val="18"/>
                  <w:color w:val="0563C1"/>
                  <w:w w:val="92"/>
                </w:rPr>
                <w:t>Spruce Biosciences, Inc. 2020 Equity Incentive Plan (filed as Exhibit 10.3 to the</w:t>
              </w:r>
            </w:hyperlink>
          </w:p>
        </w:tc>
        <w:tc>
          <w:tcPr>
            <w:tcW w:w="4100" w:type="dxa"/>
            <w:vAlign w:val="bottom"/>
            <w:gridSpan w:val="20"/>
          </w:tcPr>
          <w:p>
            <w:pPr>
              <w:spacing w:after="0" w:line="169" w:lineRule="exact"/>
              <w:rPr>
                <w:rFonts w:ascii="Arial" w:cs="Arial" w:eastAsia="Arial" w:hAnsi="Arial"/>
                <w:sz w:val="18"/>
                <w:szCs w:val="18"/>
                <w:color w:val="0563C1"/>
                <w:w w:val="95"/>
              </w:rPr>
            </w:pPr>
            <w:hyperlink r:id="rId458">
              <w:r>
                <w:rPr>
                  <w:rFonts w:ascii="Arial" w:cs="Arial" w:eastAsia="Arial" w:hAnsi="Arial"/>
                  <w:sz w:val="18"/>
                  <w:szCs w:val="18"/>
                  <w:color w:val="0563C1"/>
                  <w:w w:val="95"/>
                </w:rPr>
                <w:t>registrant’s Current Report on Form 8-K, filed with the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563C1"/>
            </w:tcBorders>
            <w:gridSpan w:val="22"/>
          </w:tcPr>
          <w:p>
            <w:pPr>
              <w:spacing w:after="0" w:line="156" w:lineRule="exact"/>
              <w:rPr>
                <w:rFonts w:ascii="Arial" w:cs="Arial" w:eastAsia="Arial" w:hAnsi="Arial"/>
                <w:sz w:val="18"/>
                <w:szCs w:val="18"/>
                <w:color w:val="0563C1"/>
              </w:rPr>
            </w:pPr>
            <w:hyperlink r:id="rId458">
              <w:r>
                <w:rPr>
                  <w:rFonts w:ascii="Arial" w:cs="Arial" w:eastAsia="Arial" w:hAnsi="Arial"/>
                  <w:sz w:val="18"/>
                  <w:szCs w:val="18"/>
                  <w:color w:val="0563C1"/>
                </w:rPr>
                <w:t>SEC on October 5, 2020, and incorporated by reference herein).</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563C1"/>
            </w:tcBorders>
            <w:gridSpan w:val="5"/>
          </w:tcPr>
          <w:p>
            <w:pPr>
              <w:spacing w:after="0" w:line="169" w:lineRule="exact"/>
              <w:rPr>
                <w:rFonts w:ascii="Arial" w:cs="Arial" w:eastAsia="Arial" w:hAnsi="Arial"/>
                <w:sz w:val="18"/>
                <w:szCs w:val="18"/>
                <w:color w:val="0563C1"/>
                <w:w w:val="92"/>
              </w:rPr>
            </w:pPr>
            <w:hyperlink r:id="rId459">
              <w:r>
                <w:rPr>
                  <w:rFonts w:ascii="Arial" w:cs="Arial" w:eastAsia="Arial" w:hAnsi="Arial"/>
                  <w:sz w:val="18"/>
                  <w:szCs w:val="18"/>
                  <w:color w:val="0563C1"/>
                  <w:w w:val="92"/>
                </w:rPr>
                <w:t>Forms of Grant Notice, Stock Option Agreement and Notice of</w:t>
              </w:r>
            </w:hyperlink>
          </w:p>
        </w:tc>
        <w:tc>
          <w:tcPr>
            <w:tcW w:w="5380" w:type="dxa"/>
            <w:vAlign w:val="bottom"/>
            <w:gridSpan w:val="23"/>
          </w:tcPr>
          <w:p>
            <w:pPr>
              <w:spacing w:after="0" w:line="169" w:lineRule="exact"/>
              <w:rPr>
                <w:rFonts w:ascii="Arial" w:cs="Arial" w:eastAsia="Arial" w:hAnsi="Arial"/>
                <w:sz w:val="18"/>
                <w:szCs w:val="18"/>
                <w:color w:val="0563C1"/>
                <w:w w:val="93"/>
              </w:rPr>
            </w:pPr>
            <w:hyperlink r:id="rId459">
              <w:r>
                <w:rPr>
                  <w:rFonts w:ascii="Arial" w:cs="Arial" w:eastAsia="Arial" w:hAnsi="Arial"/>
                  <w:sz w:val="18"/>
                  <w:szCs w:val="18"/>
                  <w:color w:val="0563C1"/>
                  <w:w w:val="93"/>
                </w:rPr>
                <w:t>Exercise under the Spruce Biosciences, Inc. 2020 Equity Incentive Plan</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563C1"/>
            </w:tcBorders>
            <w:gridSpan w:val="21"/>
          </w:tcPr>
          <w:p>
            <w:pPr>
              <w:spacing w:after="0" w:line="156" w:lineRule="exact"/>
              <w:rPr>
                <w:rFonts w:ascii="Arial" w:cs="Arial" w:eastAsia="Arial" w:hAnsi="Arial"/>
                <w:sz w:val="18"/>
                <w:szCs w:val="18"/>
                <w:color w:val="0563C1"/>
                <w:w w:val="91"/>
              </w:rPr>
            </w:pPr>
            <w:hyperlink r:id="rId459">
              <w:r>
                <w:rPr>
                  <w:rFonts w:ascii="Arial" w:cs="Arial" w:eastAsia="Arial" w:hAnsi="Arial"/>
                  <w:sz w:val="18"/>
                  <w:szCs w:val="18"/>
                  <w:color w:val="0563C1"/>
                  <w:w w:val="91"/>
                </w:rPr>
                <w:t>(filed as Exhibit 10.4 to the registrant’s Registration Statement on Form S-1, as amended (File No. 333-248924), filed with the SEC on</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563C1"/>
            </w:tcBorders>
            <w:gridSpan w:val="20"/>
          </w:tcPr>
          <w:p>
            <w:pPr>
              <w:spacing w:after="0" w:line="156" w:lineRule="exact"/>
              <w:rPr>
                <w:rFonts w:ascii="Arial" w:cs="Arial" w:eastAsia="Arial" w:hAnsi="Arial"/>
                <w:sz w:val="18"/>
                <w:szCs w:val="18"/>
                <w:color w:val="0563C1"/>
              </w:rPr>
            </w:pPr>
            <w:hyperlink r:id="rId459">
              <w:r>
                <w:rPr>
                  <w:rFonts w:ascii="Arial" w:cs="Arial" w:eastAsia="Arial" w:hAnsi="Arial"/>
                  <w:sz w:val="18"/>
                  <w:szCs w:val="18"/>
                  <w:color w:val="0563C1"/>
                </w:rPr>
                <w:t>September 18, 2020, and incorporated by reference herein).</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4"/>
            <w:shd w:val="clear" w:color="auto" w:fill="0563C1"/>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8"/>
          </w:tcPr>
          <w:p>
            <w:pPr>
              <w:spacing w:after="0" w:line="169" w:lineRule="exact"/>
              <w:rPr>
                <w:rFonts w:ascii="Arial" w:cs="Arial" w:eastAsia="Arial" w:hAnsi="Arial"/>
                <w:sz w:val="18"/>
                <w:szCs w:val="18"/>
                <w:color w:val="0563C1"/>
                <w:w w:val="91"/>
              </w:rPr>
            </w:pPr>
            <w:hyperlink r:id="rId460">
              <w:r>
                <w:rPr>
                  <w:rFonts w:ascii="Arial" w:cs="Arial" w:eastAsia="Arial" w:hAnsi="Arial"/>
                  <w:sz w:val="18"/>
                  <w:szCs w:val="18"/>
                  <w:color w:val="0563C1"/>
                  <w:w w:val="91"/>
                </w:rPr>
                <w:t>Spruce Biosciences, Inc. 2020 Employee Stock Purchase Plan (filed as Exhibit 10.5 to the registrant’s Registration Statement on Form 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563C1"/>
              <w:bottom w:val="single" w:sz="8" w:color="0563C1"/>
            </w:tcBorders>
            <w:gridSpan w:val="11"/>
          </w:tcPr>
          <w:p>
            <w:pPr>
              <w:spacing w:after="0" w:line="156" w:lineRule="exact"/>
              <w:rPr>
                <w:rFonts w:ascii="Arial" w:cs="Arial" w:eastAsia="Arial" w:hAnsi="Arial"/>
                <w:sz w:val="18"/>
                <w:szCs w:val="18"/>
                <w:color w:val="0563C1"/>
                <w:w w:val="90"/>
              </w:rPr>
            </w:pPr>
            <w:hyperlink r:id="rId460">
              <w:r>
                <w:rPr>
                  <w:rFonts w:ascii="Arial" w:cs="Arial" w:eastAsia="Arial" w:hAnsi="Arial"/>
                  <w:sz w:val="18"/>
                  <w:szCs w:val="18"/>
                  <w:color w:val="0563C1"/>
                  <w:w w:val="90"/>
                </w:rPr>
                <w:t>1, as amended (File No. 333-248924), filed with the SEC on October 5, 2020, and incorporated by reference herein).</w:t>
              </w:r>
            </w:hyperlink>
          </w:p>
        </w:tc>
        <w:tc>
          <w:tcPr>
            <w:tcW w:w="1480" w:type="dxa"/>
            <w:vAlign w:val="bottom"/>
            <w:tcBorders>
              <w:top w:val="single" w:sz="8" w:color="0563C1"/>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8"/>
          </w:tcPr>
          <w:p>
            <w:pPr>
              <w:spacing w:after="0" w:line="169" w:lineRule="exact"/>
              <w:rPr>
                <w:rFonts w:ascii="Arial" w:cs="Arial" w:eastAsia="Arial" w:hAnsi="Arial"/>
                <w:sz w:val="18"/>
                <w:szCs w:val="18"/>
                <w:color w:val="0563C1"/>
                <w:w w:val="91"/>
              </w:rPr>
            </w:pPr>
            <w:hyperlink r:id="rId460">
              <w:r>
                <w:rPr>
                  <w:rFonts w:ascii="Arial" w:cs="Arial" w:eastAsia="Arial" w:hAnsi="Arial"/>
                  <w:sz w:val="18"/>
                  <w:szCs w:val="18"/>
                  <w:color w:val="0563C1"/>
                  <w:w w:val="91"/>
                </w:rPr>
                <w:t>Spruce Biosciences, Inc. 2020 Employee Stock Purchase Plan Offering Document (filed as Exhibit 10.6 to the registrant's Annual Report</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563C1"/>
            </w:tcBorders>
            <w:gridSpan w:val="25"/>
          </w:tcPr>
          <w:p>
            <w:pPr>
              <w:spacing w:after="0" w:line="156" w:lineRule="exact"/>
              <w:rPr>
                <w:rFonts w:ascii="Arial" w:cs="Arial" w:eastAsia="Arial" w:hAnsi="Arial"/>
                <w:sz w:val="18"/>
                <w:szCs w:val="18"/>
                <w:color w:val="0563C1"/>
              </w:rPr>
            </w:pPr>
            <w:hyperlink r:id="rId460">
              <w:r>
                <w:rPr>
                  <w:rFonts w:ascii="Arial" w:cs="Arial" w:eastAsia="Arial" w:hAnsi="Arial"/>
                  <w:sz w:val="18"/>
                  <w:szCs w:val="18"/>
                  <w:color w:val="0563C1"/>
                </w:rPr>
                <w:t>on Form 10-K (File No. 001-39594), filed with the SEC on March 22, 2021, and incorporated by reference herein).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1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00" w:type="dxa"/>
            <w:vAlign w:val="bottom"/>
            <w:tcBorders>
              <w:top w:val="single" w:sz="8" w:color="0563C1"/>
            </w:tcBorders>
            <w:gridSpan w:val="5"/>
          </w:tcPr>
          <w:p>
            <w:pPr>
              <w:ind w:left="4200"/>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0563C1"/>
            </w:tcBorders>
          </w:tcPr>
          <w:p>
            <w:pPr>
              <w:spacing w:after="0"/>
              <w:rPr>
                <w:sz w:val="24"/>
                <w:szCs w:val="24"/>
                <w:color w:val="auto"/>
              </w:rPr>
            </w:pPr>
          </w:p>
        </w:tc>
        <w:tc>
          <w:tcPr>
            <w:tcW w:w="88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740" w:type="dxa"/>
            <w:vAlign w:val="bottom"/>
            <w:tcBorders>
              <w:top w:val="single" w:sz="8" w:color="0563C1"/>
            </w:tcBorders>
          </w:tcPr>
          <w:p>
            <w:pPr>
              <w:spacing w:after="0"/>
              <w:rPr>
                <w:sz w:val="24"/>
                <w:szCs w:val="24"/>
                <w:color w:val="auto"/>
              </w:rPr>
            </w:pPr>
          </w:p>
        </w:tc>
        <w:tc>
          <w:tcPr>
            <w:tcW w:w="166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Arial" w:cs="Arial" w:eastAsia="Arial" w:hAnsi="Arial"/>
                <w:sz w:val="18"/>
                <w:szCs w:val="18"/>
                <w:color w:val="auto"/>
              </w:rPr>
              <w:t>10.7+</w:t>
            </w:r>
          </w:p>
        </w:tc>
        <w:tc>
          <w:tcPr>
            <w:tcW w:w="10020" w:type="dxa"/>
            <w:vAlign w:val="bottom"/>
            <w:gridSpan w:val="37"/>
          </w:tcPr>
          <w:p>
            <w:pPr>
              <w:spacing w:after="0"/>
              <w:rPr>
                <w:rFonts w:ascii="Arial" w:cs="Arial" w:eastAsia="Arial" w:hAnsi="Arial"/>
                <w:sz w:val="18"/>
                <w:szCs w:val="18"/>
                <w:color w:val="0563C1"/>
                <w:w w:val="92"/>
              </w:rPr>
            </w:pPr>
            <w:hyperlink r:id="rId464">
              <w:r>
                <w:rPr>
                  <w:rFonts w:ascii="Arial" w:cs="Arial" w:eastAsia="Arial" w:hAnsi="Arial"/>
                  <w:sz w:val="18"/>
                  <w:szCs w:val="18"/>
                  <w:color w:val="0563C1"/>
                  <w:w w:val="92"/>
                </w:rPr>
                <w:t>Form of Stock Option Grant Notice, Option Agreement and Notice of Exercise for Inducement Grant Outside of the Spruce Biosciences,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940" w:type="dxa"/>
            <w:vAlign w:val="bottom"/>
            <w:tcBorders>
              <w:top w:val="single" w:sz="8" w:color="0563C1"/>
            </w:tcBorders>
            <w:gridSpan w:val="33"/>
          </w:tcPr>
          <w:p>
            <w:pPr>
              <w:spacing w:after="0" w:line="156" w:lineRule="exact"/>
              <w:rPr>
                <w:rFonts w:ascii="Arial" w:cs="Arial" w:eastAsia="Arial" w:hAnsi="Arial"/>
                <w:sz w:val="18"/>
                <w:szCs w:val="18"/>
                <w:color w:val="0563C1"/>
                <w:w w:val="92"/>
              </w:rPr>
            </w:pPr>
            <w:hyperlink r:id="rId464">
              <w:r>
                <w:rPr>
                  <w:rFonts w:ascii="Arial" w:cs="Arial" w:eastAsia="Arial" w:hAnsi="Arial"/>
                  <w:sz w:val="18"/>
                  <w:szCs w:val="18"/>
                  <w:color w:val="0563C1"/>
                  <w:w w:val="92"/>
                </w:rPr>
                <w:t>Inc. 2020 Equity Incentive Plan (incorporated by reference to Exhibit 10.2 to the Registrant's Current Report on Form 8-K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920" w:type="dxa"/>
            <w:vAlign w:val="bottom"/>
            <w:tcBorders>
              <w:top w:val="single" w:sz="8" w:color="0563C1"/>
            </w:tcBorders>
            <w:gridSpan w:val="32"/>
          </w:tcPr>
          <w:p>
            <w:pPr>
              <w:spacing w:after="0" w:line="156" w:lineRule="exact"/>
              <w:rPr>
                <w:rFonts w:ascii="Arial" w:cs="Arial" w:eastAsia="Arial" w:hAnsi="Arial"/>
                <w:sz w:val="18"/>
                <w:szCs w:val="18"/>
                <w:color w:val="0563C1"/>
              </w:rPr>
            </w:pPr>
            <w:hyperlink r:id="rId464">
              <w:r>
                <w:rPr>
                  <w:rFonts w:ascii="Arial" w:cs="Arial" w:eastAsia="Arial" w:hAnsi="Arial"/>
                  <w:sz w:val="18"/>
                  <w:szCs w:val="18"/>
                  <w:color w:val="0563C1"/>
                </w:rPr>
                <w:t>39594)</w:t>
              </w:r>
              <w:r>
                <w:rPr>
                  <w:rFonts w:ascii="Arial" w:cs="Arial" w:eastAsia="Arial" w:hAnsi="Arial"/>
                  <w:sz w:val="18"/>
                  <w:szCs w:val="18"/>
                  <w:u w:val="single" w:color="auto"/>
                  <w:color w:val="0563C1"/>
                </w:rPr>
                <w:t>,</w:t>
              </w:r>
              <w:r>
                <w:rPr>
                  <w:rFonts w:ascii="Arial" w:cs="Arial" w:eastAsia="Arial" w:hAnsi="Arial"/>
                  <w:sz w:val="18"/>
                  <w:szCs w:val="18"/>
                  <w:color w:val="0563C1"/>
                </w:rPr>
                <w:t xml:space="preserve"> filed with the Commission on January 5,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10.8+</w:t>
            </w:r>
          </w:p>
        </w:tc>
        <w:tc>
          <w:tcPr>
            <w:tcW w:w="4020" w:type="dxa"/>
            <w:vAlign w:val="bottom"/>
            <w:tcBorders>
              <w:top w:val="single" w:sz="8" w:color="0563C1"/>
            </w:tcBorders>
            <w:gridSpan w:val="7"/>
          </w:tcPr>
          <w:p>
            <w:pPr>
              <w:spacing w:after="0" w:line="169" w:lineRule="exact"/>
              <w:rPr>
                <w:rFonts w:ascii="Arial" w:cs="Arial" w:eastAsia="Arial" w:hAnsi="Arial"/>
                <w:sz w:val="18"/>
                <w:szCs w:val="18"/>
                <w:color w:val="0563C1"/>
                <w:w w:val="92"/>
              </w:rPr>
            </w:pPr>
            <w:hyperlink r:id="rId465">
              <w:r>
                <w:rPr>
                  <w:rFonts w:ascii="Arial" w:cs="Arial" w:eastAsia="Arial" w:hAnsi="Arial"/>
                  <w:sz w:val="18"/>
                  <w:szCs w:val="18"/>
                  <w:color w:val="0563C1"/>
                  <w:w w:val="92"/>
                </w:rPr>
                <w:t>Spruce Biosciences, Inc. 2020 Non-Employee Director</w:t>
              </w:r>
            </w:hyperlink>
          </w:p>
        </w:tc>
        <w:tc>
          <w:tcPr>
            <w:tcW w:w="20" w:type="dxa"/>
            <w:vAlign w:val="bottom"/>
            <w:tcBorders>
              <w:top w:val="single" w:sz="8" w:color="0000EE"/>
            </w:tcBorders>
          </w:tcPr>
          <w:p>
            <w:pPr>
              <w:spacing w:after="0"/>
              <w:rPr>
                <w:sz w:val="14"/>
                <w:szCs w:val="14"/>
                <w:color w:val="auto"/>
              </w:rPr>
            </w:pPr>
          </w:p>
        </w:tc>
        <w:tc>
          <w:tcPr>
            <w:tcW w:w="5980" w:type="dxa"/>
            <w:vAlign w:val="bottom"/>
            <w:gridSpan w:val="29"/>
          </w:tcPr>
          <w:p>
            <w:pPr>
              <w:spacing w:after="0" w:line="169" w:lineRule="exact"/>
              <w:rPr>
                <w:rFonts w:ascii="Arial" w:cs="Arial" w:eastAsia="Arial" w:hAnsi="Arial"/>
                <w:sz w:val="18"/>
                <w:szCs w:val="18"/>
                <w:color w:val="0563C1"/>
              </w:rPr>
            </w:pPr>
            <w:hyperlink r:id="rId465">
              <w:r>
                <w:rPr>
                  <w:rFonts w:ascii="Arial" w:cs="Arial" w:eastAsia="Arial" w:hAnsi="Arial"/>
                  <w:sz w:val="18"/>
                  <w:szCs w:val="18"/>
                  <w:color w:val="0563C1"/>
                </w:rPr>
                <w:t>Compensation Policy (filed as Exhibit 10.6 to the registrant’s Registration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380" w:type="dxa"/>
            <w:vAlign w:val="bottom"/>
            <w:tcBorders>
              <w:top w:val="single" w:sz="8" w:color="0563C1"/>
              <w:bottom w:val="single" w:sz="8" w:color="0563C1"/>
            </w:tcBorders>
            <w:gridSpan w:val="18"/>
          </w:tcPr>
          <w:p>
            <w:pPr>
              <w:spacing w:after="0" w:line="156" w:lineRule="exact"/>
              <w:rPr>
                <w:rFonts w:ascii="Arial" w:cs="Arial" w:eastAsia="Arial" w:hAnsi="Arial"/>
                <w:sz w:val="18"/>
                <w:szCs w:val="18"/>
                <w:color w:val="0563C1"/>
                <w:w w:val="90"/>
              </w:rPr>
            </w:pPr>
            <w:hyperlink r:id="rId465">
              <w:r>
                <w:rPr>
                  <w:rFonts w:ascii="Arial" w:cs="Arial" w:eastAsia="Arial" w:hAnsi="Arial"/>
                  <w:sz w:val="18"/>
                  <w:szCs w:val="18"/>
                  <w:color w:val="0563C1"/>
                  <w:w w:val="90"/>
                </w:rPr>
                <w:t>Statement on Form S-1, as amended (File No. 333-248924), filed with the SEC on October 5, 2020, and incorporated by reference</w:t>
              </w:r>
            </w:hyperlink>
          </w:p>
        </w:tc>
        <w:tc>
          <w:tcPr>
            <w:tcW w:w="40" w:type="dxa"/>
            <w:vAlign w:val="bottom"/>
            <w:tcBorders>
              <w:bottom w:val="single" w:sz="8" w:color="0563C1"/>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420" w:type="dxa"/>
            <w:vAlign w:val="bottom"/>
            <w:gridSpan w:val="19"/>
          </w:tcPr>
          <w:p>
            <w:pPr>
              <w:spacing w:after="0" w:line="156" w:lineRule="exact"/>
              <w:rPr>
                <w:rFonts w:ascii="Arial" w:cs="Arial" w:eastAsia="Arial" w:hAnsi="Arial"/>
                <w:sz w:val="18"/>
                <w:szCs w:val="18"/>
                <w:color w:val="0563C1"/>
              </w:rPr>
            </w:pPr>
            <w:hyperlink r:id="rId465">
              <w:r>
                <w:rPr>
                  <w:rFonts w:ascii="Arial" w:cs="Arial" w:eastAsia="Arial" w:hAnsi="Arial"/>
                  <w:sz w:val="18"/>
                  <w:szCs w:val="18"/>
                  <w:color w:val="0563C1"/>
                </w:rPr>
                <w:t>herein).</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10.9+</w:t>
            </w:r>
          </w:p>
        </w:tc>
        <w:tc>
          <w:tcPr>
            <w:tcW w:w="560" w:type="dxa"/>
            <w:vAlign w:val="bottom"/>
            <w:tcBorders>
              <w:top w:val="single" w:sz="8" w:color="0563C1"/>
            </w:tcBorders>
          </w:tcPr>
          <w:p>
            <w:pPr>
              <w:spacing w:after="0" w:line="169" w:lineRule="exact"/>
              <w:rPr>
                <w:rFonts w:ascii="Arial" w:cs="Arial" w:eastAsia="Arial" w:hAnsi="Arial"/>
                <w:sz w:val="18"/>
                <w:szCs w:val="18"/>
                <w:color w:val="0563C1"/>
                <w:w w:val="86"/>
              </w:rPr>
            </w:pPr>
            <w:hyperlink r:id="rId466">
              <w:r>
                <w:rPr>
                  <w:rFonts w:ascii="Arial" w:cs="Arial" w:eastAsia="Arial" w:hAnsi="Arial"/>
                  <w:sz w:val="18"/>
                  <w:szCs w:val="18"/>
                  <w:color w:val="0563C1"/>
                  <w:w w:val="86"/>
                </w:rPr>
                <w:t>Form of</w:t>
              </w:r>
            </w:hyperlink>
          </w:p>
        </w:tc>
        <w:tc>
          <w:tcPr>
            <w:tcW w:w="9460" w:type="dxa"/>
            <w:vAlign w:val="bottom"/>
            <w:gridSpan w:val="36"/>
          </w:tcPr>
          <w:p>
            <w:pPr>
              <w:jc w:val="center"/>
              <w:ind w:right="340"/>
              <w:spacing w:after="0" w:line="169" w:lineRule="exact"/>
              <w:rPr>
                <w:rFonts w:ascii="Arial" w:cs="Arial" w:eastAsia="Arial" w:hAnsi="Arial"/>
                <w:sz w:val="18"/>
                <w:szCs w:val="18"/>
                <w:color w:val="0563C1"/>
                <w:w w:val="91"/>
              </w:rPr>
            </w:pPr>
            <w:hyperlink r:id="rId466">
              <w:r>
                <w:rPr>
                  <w:rFonts w:ascii="Arial" w:cs="Arial" w:eastAsia="Arial" w:hAnsi="Arial"/>
                  <w:sz w:val="18"/>
                  <w:szCs w:val="18"/>
                  <w:color w:val="0563C1"/>
                  <w:w w:val="91"/>
                </w:rPr>
                <w:t>Indemnification Agreement by and between the registrant and its directors and executive officers (filed as Exhibit 10.7 to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660" w:type="dxa"/>
            <w:vAlign w:val="bottom"/>
            <w:tcBorders>
              <w:top w:val="single" w:sz="8" w:color="0563C1"/>
            </w:tcBorders>
            <w:gridSpan w:val="22"/>
          </w:tcPr>
          <w:p>
            <w:pPr>
              <w:spacing w:after="0" w:line="156" w:lineRule="exact"/>
              <w:rPr>
                <w:rFonts w:ascii="Arial" w:cs="Arial" w:eastAsia="Arial" w:hAnsi="Arial"/>
                <w:sz w:val="18"/>
                <w:szCs w:val="18"/>
                <w:color w:val="0563C1"/>
                <w:w w:val="91"/>
              </w:rPr>
            </w:pPr>
            <w:hyperlink r:id="rId466">
              <w:r>
                <w:rPr>
                  <w:rFonts w:ascii="Arial" w:cs="Arial" w:eastAsia="Arial" w:hAnsi="Arial"/>
                  <w:sz w:val="18"/>
                  <w:szCs w:val="18"/>
                  <w:color w:val="0563C1"/>
                  <w:w w:val="91"/>
                </w:rPr>
                <w:t>registrant’s Registration Statement on Form S-1, as amended (File No. 333-248924), filed with the SEC on September 18,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580" w:type="dxa"/>
            <w:vAlign w:val="bottom"/>
            <w:tcBorders>
              <w:top w:val="single" w:sz="8" w:color="0563C1"/>
            </w:tcBorders>
            <w:gridSpan w:val="21"/>
          </w:tcPr>
          <w:p>
            <w:pPr>
              <w:spacing w:after="0" w:line="156" w:lineRule="exact"/>
              <w:rPr>
                <w:rFonts w:ascii="Arial" w:cs="Arial" w:eastAsia="Arial" w:hAnsi="Arial"/>
                <w:sz w:val="18"/>
                <w:szCs w:val="18"/>
                <w:color w:val="0563C1"/>
              </w:rPr>
            </w:pPr>
            <w:hyperlink r:id="rId466">
              <w:r>
                <w:rPr>
                  <w:rFonts w:ascii="Arial" w:cs="Arial" w:eastAsia="Arial" w:hAnsi="Arial"/>
                  <w:sz w:val="18"/>
                  <w:szCs w:val="18"/>
                  <w:color w:val="0563C1"/>
                </w:rPr>
                <w:t>incorporated by reference herein).</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10.10+</w:t>
            </w:r>
          </w:p>
        </w:tc>
        <w:tc>
          <w:tcPr>
            <w:tcW w:w="2460" w:type="dxa"/>
            <w:vAlign w:val="bottom"/>
            <w:tcBorders>
              <w:top w:val="single" w:sz="8" w:color="0563C1"/>
            </w:tcBorders>
            <w:gridSpan w:val="5"/>
          </w:tcPr>
          <w:p>
            <w:pPr>
              <w:spacing w:after="0" w:line="169" w:lineRule="exact"/>
              <w:rPr>
                <w:rFonts w:ascii="Arial" w:cs="Arial" w:eastAsia="Arial" w:hAnsi="Arial"/>
                <w:sz w:val="18"/>
                <w:szCs w:val="18"/>
                <w:color w:val="0563C1"/>
                <w:w w:val="83"/>
              </w:rPr>
            </w:pPr>
            <w:hyperlink r:id="rId467">
              <w:r>
                <w:rPr>
                  <w:rFonts w:ascii="Arial" w:cs="Arial" w:eastAsia="Arial" w:hAnsi="Arial"/>
                  <w:sz w:val="18"/>
                  <w:szCs w:val="18"/>
                  <w:color w:val="0563C1"/>
                  <w:w w:val="83"/>
                </w:rPr>
                <w:t>Spruce Biosciences, Inc. Severance</w:t>
              </w:r>
            </w:hyperlink>
          </w:p>
        </w:tc>
        <w:tc>
          <w:tcPr>
            <w:tcW w:w="7560" w:type="dxa"/>
            <w:vAlign w:val="bottom"/>
            <w:gridSpan w:val="32"/>
          </w:tcPr>
          <w:p>
            <w:pPr>
              <w:ind w:left="140"/>
              <w:spacing w:after="0" w:line="169" w:lineRule="exact"/>
              <w:rPr>
                <w:rFonts w:ascii="Arial" w:cs="Arial" w:eastAsia="Arial" w:hAnsi="Arial"/>
                <w:sz w:val="18"/>
                <w:szCs w:val="18"/>
                <w:color w:val="0563C1"/>
                <w:w w:val="93"/>
              </w:rPr>
            </w:pPr>
            <w:hyperlink r:id="rId467">
              <w:r>
                <w:rPr>
                  <w:rFonts w:ascii="Arial" w:cs="Arial" w:eastAsia="Arial" w:hAnsi="Arial"/>
                  <w:sz w:val="18"/>
                  <w:szCs w:val="18"/>
                  <w:color w:val="0563C1"/>
                  <w:w w:val="93"/>
                </w:rPr>
                <w:t>and Change in Control Plan (filed as Exhibit 10.9 to the registrant’s Registration Statement on Form</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880" w:type="dxa"/>
            <w:vAlign w:val="bottom"/>
            <w:tcBorders>
              <w:top w:val="single" w:sz="8" w:color="0563C1"/>
            </w:tcBorders>
            <w:gridSpan w:val="30"/>
          </w:tcPr>
          <w:p>
            <w:pPr>
              <w:spacing w:after="0" w:line="156" w:lineRule="exact"/>
              <w:rPr>
                <w:rFonts w:ascii="Arial" w:cs="Arial" w:eastAsia="Arial" w:hAnsi="Arial"/>
                <w:sz w:val="18"/>
                <w:szCs w:val="18"/>
                <w:color w:val="0563C1"/>
              </w:rPr>
            </w:pPr>
            <w:hyperlink r:id="rId467">
              <w:r>
                <w:rPr>
                  <w:rFonts w:ascii="Arial" w:cs="Arial" w:eastAsia="Arial" w:hAnsi="Arial"/>
                  <w:sz w:val="18"/>
                  <w:szCs w:val="18"/>
                  <w:color w:val="0563C1"/>
                </w:rPr>
                <w:t>S-1, as amended (File No. 333-248924), filed with the SEC on September 18, 2020, and incorporated by reference herein).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10.11+¥</w:t>
            </w:r>
          </w:p>
        </w:tc>
        <w:tc>
          <w:tcPr>
            <w:tcW w:w="8840" w:type="dxa"/>
            <w:vAlign w:val="bottom"/>
            <w:tcBorders>
              <w:top w:val="single" w:sz="8" w:color="0563C1"/>
            </w:tcBorders>
            <w:gridSpan w:val="14"/>
          </w:tcPr>
          <w:p>
            <w:pPr>
              <w:spacing w:after="0" w:line="169" w:lineRule="exact"/>
              <w:rPr>
                <w:rFonts w:ascii="Arial" w:cs="Arial" w:eastAsia="Arial" w:hAnsi="Arial"/>
                <w:sz w:val="18"/>
                <w:szCs w:val="18"/>
                <w:color w:val="0563C1"/>
                <w:w w:val="90"/>
              </w:rPr>
            </w:pPr>
            <w:hyperlink r:id="rId468">
              <w:r>
                <w:rPr>
                  <w:rFonts w:ascii="Arial" w:cs="Arial" w:eastAsia="Arial" w:hAnsi="Arial"/>
                  <w:sz w:val="18"/>
                  <w:szCs w:val="18"/>
                  <w:color w:val="0563C1"/>
                  <w:w w:val="90"/>
                </w:rPr>
                <w:t>Employment Agreement, by and between the registrant and Richard King, dated October 1, 2019 (filed as Exhibit 10.11 to</w:t>
              </w:r>
            </w:hyperlink>
          </w:p>
        </w:tc>
        <w:tc>
          <w:tcPr>
            <w:tcW w:w="1180" w:type="dxa"/>
            <w:vAlign w:val="bottom"/>
            <w:gridSpan w:val="23"/>
          </w:tcPr>
          <w:p>
            <w:pPr>
              <w:jc w:val="center"/>
              <w:ind w:right="60"/>
              <w:spacing w:after="0" w:line="169" w:lineRule="exact"/>
              <w:rPr>
                <w:rFonts w:ascii="Arial" w:cs="Arial" w:eastAsia="Arial" w:hAnsi="Arial"/>
                <w:sz w:val="18"/>
                <w:szCs w:val="18"/>
                <w:color w:val="0563C1"/>
                <w:w w:val="91"/>
              </w:rPr>
            </w:pPr>
            <w:hyperlink r:id="rId468">
              <w:r>
                <w:rPr>
                  <w:rFonts w:ascii="Arial" w:cs="Arial" w:eastAsia="Arial" w:hAnsi="Arial"/>
                  <w:sz w:val="18"/>
                  <w:szCs w:val="18"/>
                  <w:color w:val="0563C1"/>
                  <w:w w:val="91"/>
                </w:rPr>
                <w:t>the registrant’s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0000" w:type="dxa"/>
            <w:vAlign w:val="bottom"/>
            <w:tcBorders>
              <w:top w:val="single" w:sz="8" w:color="0563C1"/>
            </w:tcBorders>
            <w:gridSpan w:val="36"/>
          </w:tcPr>
          <w:p>
            <w:pPr>
              <w:spacing w:after="0" w:line="156" w:lineRule="exact"/>
              <w:rPr>
                <w:rFonts w:ascii="Arial" w:cs="Arial" w:eastAsia="Arial" w:hAnsi="Arial"/>
                <w:sz w:val="18"/>
                <w:szCs w:val="18"/>
                <w:color w:val="0563C1"/>
                <w:w w:val="91"/>
              </w:rPr>
            </w:pPr>
            <w:hyperlink r:id="rId468">
              <w:r>
                <w:rPr>
                  <w:rFonts w:ascii="Arial" w:cs="Arial" w:eastAsia="Arial" w:hAnsi="Arial"/>
                  <w:sz w:val="18"/>
                  <w:szCs w:val="18"/>
                  <w:color w:val="0563C1"/>
                  <w:w w:val="91"/>
                </w:rPr>
                <w:t>Registration Statement on Form S-1, as amended (File No. 333-248924), filed with the SEC on September 18, 2020, and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996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468">
              <w:r>
                <w:rPr>
                  <w:rFonts w:ascii="Arial" w:cs="Arial" w:eastAsia="Arial" w:hAnsi="Arial"/>
                  <w:sz w:val="18"/>
                  <w:szCs w:val="18"/>
                  <w:color w:val="0563C1"/>
                </w:rPr>
                <w:t>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260" w:type="dxa"/>
            <w:vAlign w:val="bottom"/>
            <w:gridSpan w:val="2"/>
            <w:shd w:val="clear" w:color="auto" w:fill="0563C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8"/>
                <w:szCs w:val="18"/>
                <w:color w:val="0563C1"/>
                <w:w w:val="93"/>
              </w:rPr>
            </w:pPr>
            <w:hyperlink r:id="rId469">
              <w:r>
                <w:rPr>
                  <w:rFonts w:ascii="Arial" w:cs="Arial" w:eastAsia="Arial" w:hAnsi="Arial"/>
                  <w:sz w:val="18"/>
                  <w:szCs w:val="18"/>
                  <w:color w:val="0563C1"/>
                  <w:w w:val="93"/>
                </w:rPr>
                <w:t>Offer Letter, by and between the registrant and Samir Gharib, dated April 8, 2020 (filed as Exhibit 10.16 to the registrant’s Registration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780" w:type="dxa"/>
            <w:vAlign w:val="bottom"/>
            <w:tcBorders>
              <w:top w:val="single" w:sz="8" w:color="0563C1"/>
            </w:tcBorders>
            <w:gridSpan w:val="26"/>
          </w:tcPr>
          <w:p>
            <w:pPr>
              <w:spacing w:after="0" w:line="156" w:lineRule="exact"/>
              <w:rPr>
                <w:rFonts w:ascii="Arial" w:cs="Arial" w:eastAsia="Arial" w:hAnsi="Arial"/>
                <w:sz w:val="18"/>
                <w:szCs w:val="18"/>
                <w:color w:val="0563C1"/>
                <w:w w:val="91"/>
              </w:rPr>
            </w:pPr>
            <w:hyperlink r:id="rId469">
              <w:r>
                <w:rPr>
                  <w:rFonts w:ascii="Arial" w:cs="Arial" w:eastAsia="Arial" w:hAnsi="Arial"/>
                  <w:sz w:val="18"/>
                  <w:szCs w:val="18"/>
                  <w:color w:val="0563C1"/>
                  <w:w w:val="91"/>
                </w:rPr>
                <w:t>Statement on Form S-1, as amended (File No. 333-248924), filed with the SEC on September 18, 2020, and incorporated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10.13+¥</w:t>
            </w:r>
          </w:p>
        </w:tc>
        <w:tc>
          <w:tcPr>
            <w:tcW w:w="56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8"/>
              </w:rPr>
            </w:pPr>
            <w:hyperlink r:id="rId469">
              <w:r>
                <w:rPr>
                  <w:rFonts w:ascii="Arial" w:cs="Arial" w:eastAsia="Arial" w:hAnsi="Arial"/>
                  <w:sz w:val="18"/>
                  <w:szCs w:val="18"/>
                  <w:color w:val="0563C1"/>
                  <w:w w:val="88"/>
                </w:rPr>
                <w:t>herein).</w:t>
              </w:r>
            </w:hyperlink>
          </w:p>
        </w:tc>
        <w:tc>
          <w:tcPr>
            <w:tcW w:w="9140" w:type="dxa"/>
            <w:vAlign w:val="bottom"/>
            <w:tcBorders>
              <w:top w:val="single" w:sz="8" w:color="0563C1"/>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8"/>
                <w:szCs w:val="18"/>
                <w:color w:val="0563C1"/>
                <w:w w:val="92"/>
              </w:rPr>
            </w:pPr>
            <w:hyperlink r:id="rId470">
              <w:r>
                <w:rPr>
                  <w:rFonts w:ascii="Arial" w:cs="Arial" w:eastAsia="Arial" w:hAnsi="Arial"/>
                  <w:sz w:val="18"/>
                  <w:szCs w:val="18"/>
                  <w:color w:val="0563C1"/>
                  <w:w w:val="92"/>
                </w:rPr>
                <w:t>Offer Letter, by and between the registrant and Rosh Dias, M.D., M.R.C.P., dated July 28, 2020 (filed as Exhibit 10.17 to the registrant’s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900" w:type="dxa"/>
            <w:vAlign w:val="bottom"/>
            <w:tcBorders>
              <w:top w:val="single" w:sz="8" w:color="0563C1"/>
            </w:tcBorders>
            <w:gridSpan w:val="31"/>
          </w:tcPr>
          <w:p>
            <w:pPr>
              <w:spacing w:after="0" w:line="156" w:lineRule="exact"/>
              <w:rPr>
                <w:rFonts w:ascii="Arial" w:cs="Arial" w:eastAsia="Arial" w:hAnsi="Arial"/>
                <w:sz w:val="18"/>
                <w:szCs w:val="18"/>
                <w:color w:val="0563C1"/>
                <w:w w:val="90"/>
              </w:rPr>
            </w:pPr>
            <w:hyperlink r:id="rId470">
              <w:r>
                <w:rPr>
                  <w:rFonts w:ascii="Arial" w:cs="Arial" w:eastAsia="Arial" w:hAnsi="Arial"/>
                  <w:sz w:val="18"/>
                  <w:szCs w:val="18"/>
                  <w:color w:val="0563C1"/>
                  <w:w w:val="90"/>
                </w:rPr>
                <w:t>Registration Statement on Form S-1, as amended (File No. 333-248924), filed with the SEC on September 18, 2020, and incorporated by</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96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470">
              <w:r>
                <w:rPr>
                  <w:rFonts w:ascii="Arial" w:cs="Arial" w:eastAsia="Arial" w:hAnsi="Arial"/>
                  <w:sz w:val="18"/>
                  <w:szCs w:val="18"/>
                  <w:color w:val="0563C1"/>
                </w:rPr>
                <w:t>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10.14+</w:t>
            </w:r>
          </w:p>
        </w:tc>
        <w:tc>
          <w:tcPr>
            <w:tcW w:w="1260" w:type="dxa"/>
            <w:vAlign w:val="bottom"/>
            <w:tcBorders>
              <w:top w:val="single" w:sz="8" w:color="0563C1"/>
            </w:tcBorders>
            <w:gridSpan w:val="2"/>
          </w:tcPr>
          <w:p>
            <w:pPr>
              <w:spacing w:after="0" w:line="169" w:lineRule="exact"/>
              <w:rPr>
                <w:rFonts w:ascii="Arial" w:cs="Arial" w:eastAsia="Arial" w:hAnsi="Arial"/>
                <w:sz w:val="18"/>
                <w:szCs w:val="18"/>
                <w:color w:val="0563C1"/>
                <w:w w:val="86"/>
              </w:rPr>
            </w:pPr>
            <w:hyperlink r:id="rId471">
              <w:r>
                <w:rPr>
                  <w:rFonts w:ascii="Arial" w:cs="Arial" w:eastAsia="Arial" w:hAnsi="Arial"/>
                  <w:sz w:val="18"/>
                  <w:szCs w:val="18"/>
                  <w:color w:val="0563C1"/>
                  <w:w w:val="86"/>
                </w:rPr>
                <w:t>Letter Agreement,</w:t>
              </w:r>
            </w:hyperlink>
          </w:p>
        </w:tc>
        <w:tc>
          <w:tcPr>
            <w:tcW w:w="8760" w:type="dxa"/>
            <w:vAlign w:val="bottom"/>
            <w:gridSpan w:val="35"/>
          </w:tcPr>
          <w:p>
            <w:pPr>
              <w:ind w:left="100"/>
              <w:spacing w:after="0" w:line="169" w:lineRule="exact"/>
              <w:rPr>
                <w:rFonts w:ascii="Arial" w:cs="Arial" w:eastAsia="Arial" w:hAnsi="Arial"/>
                <w:sz w:val="18"/>
                <w:szCs w:val="18"/>
                <w:color w:val="0563C1"/>
                <w:w w:val="97"/>
              </w:rPr>
            </w:pPr>
            <w:hyperlink r:id="rId471">
              <w:r>
                <w:rPr>
                  <w:rFonts w:ascii="Arial" w:cs="Arial" w:eastAsia="Arial" w:hAnsi="Arial"/>
                  <w:sz w:val="18"/>
                  <w:szCs w:val="18"/>
                  <w:color w:val="0563C1"/>
                  <w:w w:val="97"/>
                </w:rPr>
                <w:t>by and between the registrant and Michael Grey, dated March 24, 2017 (filed as Exhibit 10.18 to the registrant’s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480" w:type="dxa"/>
            <w:vAlign w:val="bottom"/>
            <w:tcBorders>
              <w:top w:val="single" w:sz="8" w:color="0563C1"/>
            </w:tcBorders>
            <w:gridSpan w:val="20"/>
          </w:tcPr>
          <w:p>
            <w:pPr>
              <w:spacing w:after="0" w:line="156" w:lineRule="exact"/>
              <w:rPr>
                <w:rFonts w:ascii="Arial" w:cs="Arial" w:eastAsia="Arial" w:hAnsi="Arial"/>
                <w:sz w:val="18"/>
                <w:szCs w:val="18"/>
                <w:color w:val="0563C1"/>
                <w:w w:val="88"/>
              </w:rPr>
            </w:pPr>
            <w:hyperlink r:id="rId471">
              <w:r>
                <w:rPr>
                  <w:rFonts w:ascii="Arial" w:cs="Arial" w:eastAsia="Arial" w:hAnsi="Arial"/>
                  <w:sz w:val="18"/>
                  <w:szCs w:val="18"/>
                  <w:color w:val="0563C1"/>
                  <w:w w:val="88"/>
                </w:rPr>
                <w:t>Registration Statement on Form S-1, as amended (File No. 333-248924), filed with the SEC on September 18, 2020, and incorporated</w:t>
              </w:r>
            </w:hyperlink>
          </w:p>
        </w:tc>
        <w:tc>
          <w:tcPr>
            <w:tcW w:w="200" w:type="dxa"/>
            <w:vAlign w:val="bottom"/>
            <w:gridSpan w:val="3"/>
          </w:tcPr>
          <w:p>
            <w:pPr>
              <w:spacing w:after="0"/>
              <w:rPr>
                <w:sz w:val="13"/>
                <w:szCs w:val="13"/>
                <w:color w:val="auto"/>
              </w:rPr>
            </w:pPr>
          </w:p>
        </w:tc>
        <w:tc>
          <w:tcPr>
            <w:tcW w:w="340" w:type="dxa"/>
            <w:vAlign w:val="bottom"/>
            <w:gridSpan w:val="14"/>
          </w:tcPr>
          <w:p>
            <w:pPr>
              <w:jc w:val="right"/>
              <w:ind w:right="160"/>
              <w:spacing w:after="0" w:line="156" w:lineRule="exact"/>
              <w:rPr>
                <w:rFonts w:ascii="Arial" w:cs="Arial" w:eastAsia="Arial" w:hAnsi="Arial"/>
                <w:sz w:val="18"/>
                <w:szCs w:val="18"/>
                <w:color w:val="0563C1"/>
                <w:w w:val="83"/>
              </w:rPr>
            </w:pPr>
            <w:hyperlink r:id="rId471">
              <w:r>
                <w:rPr>
                  <w:rFonts w:ascii="Arial" w:cs="Arial" w:eastAsia="Arial" w:hAnsi="Arial"/>
                  <w:sz w:val="18"/>
                  <w:szCs w:val="18"/>
                  <w:color w:val="0563C1"/>
                  <w:w w:val="83"/>
                </w:rPr>
                <w:t>by</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96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471">
              <w:r>
                <w:rPr>
                  <w:rFonts w:ascii="Arial" w:cs="Arial" w:eastAsia="Arial" w:hAnsi="Arial"/>
                  <w:sz w:val="18"/>
                  <w:szCs w:val="18"/>
                  <w:color w:val="0563C1"/>
                </w:rPr>
                <w:t>reference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10.15+</w:t>
            </w:r>
          </w:p>
        </w:tc>
        <w:tc>
          <w:tcPr>
            <w:tcW w:w="1260" w:type="dxa"/>
            <w:vAlign w:val="bottom"/>
            <w:tcBorders>
              <w:top w:val="single" w:sz="8" w:color="0563C1"/>
            </w:tcBorders>
            <w:gridSpan w:val="2"/>
          </w:tcPr>
          <w:p>
            <w:pPr>
              <w:spacing w:after="0" w:line="169" w:lineRule="exact"/>
              <w:rPr>
                <w:rFonts w:ascii="Arial" w:cs="Arial" w:eastAsia="Arial" w:hAnsi="Arial"/>
                <w:sz w:val="18"/>
                <w:szCs w:val="18"/>
                <w:color w:val="0563C1"/>
                <w:w w:val="86"/>
              </w:rPr>
            </w:pPr>
            <w:hyperlink r:id="rId472">
              <w:r>
                <w:rPr>
                  <w:rFonts w:ascii="Arial" w:cs="Arial" w:eastAsia="Arial" w:hAnsi="Arial"/>
                  <w:sz w:val="18"/>
                  <w:szCs w:val="18"/>
                  <w:color w:val="0563C1"/>
                  <w:w w:val="86"/>
                </w:rPr>
                <w:t>Letter Agreement,</w:t>
              </w:r>
            </w:hyperlink>
          </w:p>
        </w:tc>
        <w:tc>
          <w:tcPr>
            <w:tcW w:w="8760" w:type="dxa"/>
            <w:vAlign w:val="bottom"/>
            <w:gridSpan w:val="35"/>
          </w:tcPr>
          <w:p>
            <w:pPr>
              <w:ind w:left="100"/>
              <w:spacing w:after="0" w:line="169" w:lineRule="exact"/>
              <w:rPr>
                <w:rFonts w:ascii="Arial" w:cs="Arial" w:eastAsia="Arial" w:hAnsi="Arial"/>
                <w:sz w:val="18"/>
                <w:szCs w:val="18"/>
                <w:color w:val="0563C1"/>
              </w:rPr>
            </w:pPr>
            <w:hyperlink r:id="rId472">
              <w:r>
                <w:rPr>
                  <w:rFonts w:ascii="Arial" w:cs="Arial" w:eastAsia="Arial" w:hAnsi="Arial"/>
                  <w:sz w:val="18"/>
                  <w:szCs w:val="18"/>
                  <w:color w:val="0563C1"/>
                </w:rPr>
                <w:t>by and between the registrant and Camilla V. Simpson, dated October 11, 2017 (filed as Exhibit 10.19 to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200" w:type="dxa"/>
            <w:vAlign w:val="bottom"/>
            <w:tcBorders>
              <w:top w:val="single" w:sz="8" w:color="0563C1"/>
            </w:tcBorders>
            <w:gridSpan w:val="16"/>
          </w:tcPr>
          <w:p>
            <w:pPr>
              <w:spacing w:after="0" w:line="156" w:lineRule="exact"/>
              <w:rPr>
                <w:rFonts w:ascii="Arial" w:cs="Arial" w:eastAsia="Arial" w:hAnsi="Arial"/>
                <w:sz w:val="18"/>
                <w:szCs w:val="18"/>
                <w:color w:val="0563C1"/>
                <w:w w:val="89"/>
              </w:rPr>
            </w:pPr>
            <w:hyperlink r:id="rId472">
              <w:r>
                <w:rPr>
                  <w:rFonts w:ascii="Arial" w:cs="Arial" w:eastAsia="Arial" w:hAnsi="Arial"/>
                  <w:sz w:val="18"/>
                  <w:szCs w:val="18"/>
                  <w:color w:val="0563C1"/>
                  <w:w w:val="89"/>
                </w:rPr>
                <w:t>registrant’s Registration Statement on Form S-1, as amended (File No. 333-248924), filed with the SEC on September 18, 2020,</w:t>
              </w:r>
            </w:hyperlink>
          </w:p>
        </w:tc>
        <w:tc>
          <w:tcPr>
            <w:tcW w:w="40" w:type="dxa"/>
            <w:vAlign w:val="bottom"/>
          </w:tcPr>
          <w:p>
            <w:pPr>
              <w:spacing w:after="0"/>
              <w:rPr>
                <w:sz w:val="13"/>
                <w:szCs w:val="13"/>
                <w:color w:val="auto"/>
              </w:rPr>
            </w:pPr>
          </w:p>
        </w:tc>
        <w:tc>
          <w:tcPr>
            <w:tcW w:w="780" w:type="dxa"/>
            <w:vAlign w:val="bottom"/>
            <w:gridSpan w:val="20"/>
          </w:tcPr>
          <w:p>
            <w:pPr>
              <w:jc w:val="center"/>
              <w:ind w:right="440"/>
              <w:spacing w:after="0" w:line="156" w:lineRule="exact"/>
              <w:rPr>
                <w:rFonts w:ascii="Arial" w:cs="Arial" w:eastAsia="Arial" w:hAnsi="Arial"/>
                <w:sz w:val="18"/>
                <w:szCs w:val="18"/>
                <w:color w:val="0563C1"/>
                <w:w w:val="86"/>
              </w:rPr>
            </w:pPr>
            <w:hyperlink r:id="rId472">
              <w:r>
                <w:rPr>
                  <w:rFonts w:ascii="Arial" w:cs="Arial" w:eastAsia="Arial" w:hAnsi="Arial"/>
                  <w:sz w:val="18"/>
                  <w:szCs w:val="18"/>
                  <w:color w:val="0563C1"/>
                  <w:w w:val="86"/>
                </w:rPr>
                <w:t>and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580" w:type="dxa"/>
            <w:vAlign w:val="bottom"/>
            <w:tcBorders>
              <w:top w:val="single" w:sz="8" w:color="0563C1"/>
            </w:tcBorders>
            <w:gridSpan w:val="21"/>
          </w:tcPr>
          <w:p>
            <w:pPr>
              <w:spacing w:after="0" w:line="156" w:lineRule="exact"/>
              <w:rPr>
                <w:rFonts w:ascii="Arial" w:cs="Arial" w:eastAsia="Arial" w:hAnsi="Arial"/>
                <w:sz w:val="18"/>
                <w:szCs w:val="18"/>
                <w:color w:val="0563C1"/>
              </w:rPr>
            </w:pPr>
            <w:hyperlink r:id="rId472">
              <w:r>
                <w:rPr>
                  <w:rFonts w:ascii="Arial" w:cs="Arial" w:eastAsia="Arial" w:hAnsi="Arial"/>
                  <w:sz w:val="18"/>
                  <w:szCs w:val="18"/>
                  <w:color w:val="0563C1"/>
                </w:rPr>
                <w:t>incorporated by reference herein).</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10.16+</w:t>
            </w:r>
          </w:p>
        </w:tc>
        <w:tc>
          <w:tcPr>
            <w:tcW w:w="2460" w:type="dxa"/>
            <w:vAlign w:val="bottom"/>
            <w:tcBorders>
              <w:top w:val="single" w:sz="8" w:color="0563C1"/>
            </w:tcBorders>
            <w:gridSpan w:val="5"/>
          </w:tcPr>
          <w:p>
            <w:pPr>
              <w:spacing w:after="0" w:line="169" w:lineRule="exact"/>
              <w:rPr>
                <w:rFonts w:ascii="Arial" w:cs="Arial" w:eastAsia="Arial" w:hAnsi="Arial"/>
                <w:sz w:val="18"/>
                <w:szCs w:val="18"/>
                <w:color w:val="0563C1"/>
                <w:w w:val="87"/>
              </w:rPr>
            </w:pPr>
            <w:hyperlink r:id="rId473">
              <w:r>
                <w:rPr>
                  <w:rFonts w:ascii="Arial" w:cs="Arial" w:eastAsia="Arial" w:hAnsi="Arial"/>
                  <w:sz w:val="18"/>
                  <w:szCs w:val="18"/>
                  <w:color w:val="0563C1"/>
                  <w:w w:val="87"/>
                </w:rPr>
                <w:t>Letter Agreement, by and between</w:t>
              </w:r>
            </w:hyperlink>
          </w:p>
        </w:tc>
        <w:tc>
          <w:tcPr>
            <w:tcW w:w="7560" w:type="dxa"/>
            <w:vAlign w:val="bottom"/>
            <w:gridSpan w:val="32"/>
          </w:tcPr>
          <w:p>
            <w:pPr>
              <w:jc w:val="right"/>
              <w:ind w:right="140"/>
              <w:spacing w:after="0" w:line="169" w:lineRule="exact"/>
              <w:rPr>
                <w:rFonts w:ascii="Arial" w:cs="Arial" w:eastAsia="Arial" w:hAnsi="Arial"/>
                <w:sz w:val="18"/>
                <w:szCs w:val="18"/>
                <w:color w:val="0563C1"/>
                <w:w w:val="91"/>
              </w:rPr>
            </w:pPr>
            <w:hyperlink r:id="rId473">
              <w:r>
                <w:rPr>
                  <w:rFonts w:ascii="Arial" w:cs="Arial" w:eastAsia="Arial" w:hAnsi="Arial"/>
                  <w:sz w:val="18"/>
                  <w:szCs w:val="18"/>
                  <w:color w:val="0563C1"/>
                  <w:w w:val="91"/>
                </w:rPr>
                <w:t>the registrant and Daniel Spiegelman, dated August 31, 2020 (filed as Exhibit 10.20 to the registrant’s</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980" w:type="dxa"/>
            <w:vAlign w:val="bottom"/>
            <w:tcBorders>
              <w:top w:val="single" w:sz="8" w:color="0563C1"/>
            </w:tcBorders>
            <w:gridSpan w:val="35"/>
          </w:tcPr>
          <w:p>
            <w:pPr>
              <w:spacing w:after="0" w:line="156" w:lineRule="exact"/>
              <w:rPr>
                <w:rFonts w:ascii="Arial" w:cs="Arial" w:eastAsia="Arial" w:hAnsi="Arial"/>
                <w:sz w:val="18"/>
                <w:szCs w:val="18"/>
                <w:color w:val="0563C1"/>
                <w:w w:val="91"/>
              </w:rPr>
            </w:pPr>
            <w:hyperlink r:id="rId473">
              <w:r>
                <w:rPr>
                  <w:rFonts w:ascii="Arial" w:cs="Arial" w:eastAsia="Arial" w:hAnsi="Arial"/>
                  <w:sz w:val="18"/>
                  <w:szCs w:val="18"/>
                  <w:color w:val="0563C1"/>
                  <w:w w:val="91"/>
                </w:rPr>
                <w:t>Registration Statement on Form S-1, as amended (File No. 333-248924), filed with the SEC on September 18, 2020, and incorporated by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10.17+</w:t>
            </w:r>
          </w:p>
        </w:tc>
        <w:tc>
          <w:tcPr>
            <w:tcW w:w="9960" w:type="dxa"/>
            <w:vAlign w:val="bottom"/>
            <w:tcBorders>
              <w:top w:val="single" w:sz="8" w:color="0563C1"/>
            </w:tcBorders>
            <w:gridSpan w:val="34"/>
          </w:tcPr>
          <w:p>
            <w:pPr>
              <w:spacing w:after="0" w:line="156" w:lineRule="exact"/>
              <w:rPr>
                <w:rFonts w:ascii="Arial" w:cs="Arial" w:eastAsia="Arial" w:hAnsi="Arial"/>
                <w:sz w:val="18"/>
                <w:szCs w:val="18"/>
                <w:color w:val="0563C1"/>
              </w:rPr>
            </w:pPr>
            <w:hyperlink r:id="rId473">
              <w:r>
                <w:rPr>
                  <w:rFonts w:ascii="Arial" w:cs="Arial" w:eastAsia="Arial" w:hAnsi="Arial"/>
                  <w:sz w:val="18"/>
                  <w:szCs w:val="18"/>
                  <w:color w:val="0563C1"/>
                </w:rPr>
                <w:t>reference herein).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260" w:type="dxa"/>
            <w:vAlign w:val="bottom"/>
            <w:gridSpan w:val="2"/>
            <w:shd w:val="clear" w:color="auto" w:fill="0563C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8"/>
                <w:szCs w:val="18"/>
                <w:color w:val="0563C1"/>
                <w:w w:val="94"/>
              </w:rPr>
            </w:pPr>
            <w:hyperlink r:id="rId474">
              <w:r>
                <w:rPr>
                  <w:rFonts w:ascii="Arial" w:cs="Arial" w:eastAsia="Arial" w:hAnsi="Arial"/>
                  <w:sz w:val="18"/>
                  <w:szCs w:val="18"/>
                  <w:color w:val="0563C1"/>
                  <w:w w:val="94"/>
                </w:rPr>
                <w:t>Offer Letter, by and between the registrant and Javier Szwarcberg, M.D., MPH, dated December 29, 2021 (filed as Exhibit 10.1 to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680" w:type="dxa"/>
            <w:vAlign w:val="bottom"/>
            <w:tcBorders>
              <w:top w:val="single" w:sz="8" w:color="0563C1"/>
            </w:tcBorders>
            <w:gridSpan w:val="23"/>
          </w:tcPr>
          <w:p>
            <w:pPr>
              <w:spacing w:after="0" w:line="156" w:lineRule="exact"/>
              <w:rPr>
                <w:rFonts w:ascii="Arial" w:cs="Arial" w:eastAsia="Arial" w:hAnsi="Arial"/>
                <w:sz w:val="18"/>
                <w:szCs w:val="18"/>
                <w:color w:val="0563C1"/>
              </w:rPr>
            </w:pPr>
            <w:hyperlink r:id="rId474">
              <w:r>
                <w:rPr>
                  <w:rFonts w:ascii="Arial" w:cs="Arial" w:eastAsia="Arial" w:hAnsi="Arial"/>
                  <w:sz w:val="18"/>
                  <w:szCs w:val="18"/>
                  <w:color w:val="0563C1"/>
                </w:rPr>
                <w:t>registrant's Current Report on Form 8-K (File No. 001-39594), filed with the Commission on January 5, 2022</w:t>
              </w:r>
              <w:r>
                <w:rPr>
                  <w:rFonts w:ascii="Arial" w:cs="Arial" w:eastAsia="Arial" w:hAnsi="Arial"/>
                  <w:sz w:val="18"/>
                  <w:szCs w:val="18"/>
                  <w:color w:val="0000FF"/>
                </w:rPr>
                <w:t>).</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10.18</w:t>
            </w:r>
          </w:p>
        </w:tc>
        <w:tc>
          <w:tcPr>
            <w:tcW w:w="8000" w:type="dxa"/>
            <w:vAlign w:val="bottom"/>
            <w:tcBorders>
              <w:top w:val="single" w:sz="8" w:color="0000EE"/>
            </w:tcBorders>
            <w:gridSpan w:val="11"/>
          </w:tcPr>
          <w:p>
            <w:pPr>
              <w:spacing w:after="0" w:line="169" w:lineRule="exact"/>
              <w:rPr>
                <w:rFonts w:ascii="Arial" w:cs="Arial" w:eastAsia="Arial" w:hAnsi="Arial"/>
                <w:sz w:val="18"/>
                <w:szCs w:val="18"/>
                <w:color w:val="0563C1"/>
                <w:w w:val="91"/>
              </w:rPr>
            </w:pPr>
            <w:hyperlink r:id="rId475">
              <w:r>
                <w:rPr>
                  <w:rFonts w:ascii="Arial" w:cs="Arial" w:eastAsia="Arial" w:hAnsi="Arial"/>
                  <w:sz w:val="18"/>
                  <w:szCs w:val="18"/>
                  <w:color w:val="0563C1"/>
                  <w:w w:val="91"/>
                </w:rPr>
                <w:t>Office Lease Agreement, by and between the registrant and DC Station Owner, LLC, dated February 13, 2020</w:t>
              </w:r>
            </w:hyperlink>
          </w:p>
        </w:tc>
        <w:tc>
          <w:tcPr>
            <w:tcW w:w="2020" w:type="dxa"/>
            <w:vAlign w:val="bottom"/>
            <w:gridSpan w:val="26"/>
          </w:tcPr>
          <w:p>
            <w:pPr>
              <w:spacing w:after="0" w:line="169" w:lineRule="exact"/>
              <w:rPr>
                <w:rFonts w:ascii="Arial" w:cs="Arial" w:eastAsia="Arial" w:hAnsi="Arial"/>
                <w:sz w:val="18"/>
                <w:szCs w:val="18"/>
                <w:color w:val="0563C1"/>
              </w:rPr>
            </w:pPr>
            <w:hyperlink r:id="rId475">
              <w:r>
                <w:rPr>
                  <w:rFonts w:ascii="Arial" w:cs="Arial" w:eastAsia="Arial" w:hAnsi="Arial"/>
                  <w:sz w:val="18"/>
                  <w:szCs w:val="18"/>
                  <w:color w:val="0563C1"/>
                </w:rPr>
                <w:t>(filed as Exhibit 10.21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820" w:type="dxa"/>
            <w:vAlign w:val="bottom"/>
            <w:tcBorders>
              <w:top w:val="single" w:sz="8" w:color="0563C1"/>
              <w:bottom w:val="single" w:sz="8" w:color="0563C1"/>
            </w:tcBorders>
            <w:gridSpan w:val="27"/>
          </w:tcPr>
          <w:p>
            <w:pPr>
              <w:spacing w:after="0" w:line="156" w:lineRule="exact"/>
              <w:rPr>
                <w:rFonts w:ascii="Arial" w:cs="Arial" w:eastAsia="Arial" w:hAnsi="Arial"/>
                <w:sz w:val="18"/>
                <w:szCs w:val="18"/>
                <w:color w:val="0563C1"/>
                <w:w w:val="90"/>
              </w:rPr>
            </w:pPr>
            <w:hyperlink r:id="rId475">
              <w:r>
                <w:rPr>
                  <w:rFonts w:ascii="Arial" w:cs="Arial" w:eastAsia="Arial" w:hAnsi="Arial"/>
                  <w:sz w:val="18"/>
                  <w:szCs w:val="18"/>
                  <w:color w:val="0563C1"/>
                  <w:w w:val="90"/>
                </w:rPr>
                <w:t>the registrant’s Registration Statement on Form S-1, as amended (File No. 333-248924), filed with the SEC on September 18, 2020, and</w:t>
              </w:r>
            </w:hyperlink>
          </w:p>
        </w:tc>
        <w:tc>
          <w:tcPr>
            <w:tcW w:w="20" w:type="dxa"/>
            <w:vAlign w:val="bottom"/>
            <w:tcBorders>
              <w:bottom w:val="single" w:sz="8" w:color="0563C1"/>
            </w:tcBorders>
          </w:tcPr>
          <w:p>
            <w:pPr>
              <w:spacing w:after="0"/>
              <w:rPr>
                <w:sz w:val="13"/>
                <w:szCs w:val="13"/>
                <w:color w:val="auto"/>
              </w:rPr>
            </w:pPr>
          </w:p>
        </w:tc>
        <w:tc>
          <w:tcPr>
            <w:tcW w:w="20" w:type="dxa"/>
            <w:vAlign w:val="bottom"/>
            <w:tcBorders>
              <w:bottom w:val="single" w:sz="8" w:color="0563C1"/>
            </w:tcBorders>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10.19#</w:t>
            </w:r>
          </w:p>
        </w:tc>
        <w:tc>
          <w:tcPr>
            <w:tcW w:w="9860" w:type="dxa"/>
            <w:vAlign w:val="bottom"/>
            <w:gridSpan w:val="29"/>
          </w:tcPr>
          <w:p>
            <w:pPr>
              <w:spacing w:after="0" w:line="156" w:lineRule="exact"/>
              <w:rPr>
                <w:rFonts w:ascii="Arial" w:cs="Arial" w:eastAsia="Arial" w:hAnsi="Arial"/>
                <w:sz w:val="18"/>
                <w:szCs w:val="18"/>
                <w:color w:val="0563C1"/>
              </w:rPr>
            </w:pPr>
            <w:hyperlink r:id="rId475">
              <w:r>
                <w:rPr>
                  <w:rFonts w:ascii="Arial" w:cs="Arial" w:eastAsia="Arial" w:hAnsi="Arial"/>
                  <w:sz w:val="18"/>
                  <w:szCs w:val="18"/>
                  <w:color w:val="0563C1"/>
                </w:rPr>
                <w:t>incorporated by reference herein).</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2180" w:type="dxa"/>
            <w:vAlign w:val="bottom"/>
            <w:tcBorders>
              <w:righ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Borders>
              <w:right w:val="single" w:sz="8" w:color="0000EE"/>
            </w:tcBorders>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8"/>
                <w:szCs w:val="18"/>
                <w:color w:val="0563C1"/>
                <w:w w:val="99"/>
              </w:rPr>
            </w:pPr>
            <w:hyperlink r:id="rId476">
              <w:r>
                <w:rPr>
                  <w:rFonts w:ascii="Arial" w:cs="Arial" w:eastAsia="Arial" w:hAnsi="Arial"/>
                  <w:sz w:val="18"/>
                  <w:szCs w:val="18"/>
                  <w:color w:val="0563C1"/>
                  <w:w w:val="99"/>
                </w:rPr>
                <w:t>License Agreement, by and between the registrant and Eli Lilly and Company, dated May 2, 2016 (filed as Exhibit 10.22 to the</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180" w:type="dxa"/>
            <w:vAlign w:val="bottom"/>
            <w:tcBorders>
              <w:top w:val="single" w:sz="8" w:color="0563C1"/>
            </w:tcBorders>
            <w:gridSpan w:val="15"/>
          </w:tcPr>
          <w:p>
            <w:pPr>
              <w:spacing w:after="0" w:line="156" w:lineRule="exact"/>
              <w:rPr>
                <w:rFonts w:ascii="Arial" w:cs="Arial" w:eastAsia="Arial" w:hAnsi="Arial"/>
                <w:sz w:val="18"/>
                <w:szCs w:val="18"/>
                <w:color w:val="0563C1"/>
                <w:w w:val="89"/>
              </w:rPr>
            </w:pPr>
            <w:hyperlink r:id="rId476">
              <w:r>
                <w:rPr>
                  <w:rFonts w:ascii="Arial" w:cs="Arial" w:eastAsia="Arial" w:hAnsi="Arial"/>
                  <w:sz w:val="18"/>
                  <w:szCs w:val="18"/>
                  <w:color w:val="0563C1"/>
                  <w:w w:val="89"/>
                </w:rPr>
                <w:t>registrant’s Registration Statement on Form S-1, as amended (File No. 333-248924), filed with the SEC on September 18, 2020,</w:t>
              </w:r>
            </w:hyperlink>
          </w:p>
        </w:tc>
        <w:tc>
          <w:tcPr>
            <w:tcW w:w="60" w:type="dxa"/>
            <w:vAlign w:val="bottom"/>
            <w:gridSpan w:val="2"/>
          </w:tcPr>
          <w:p>
            <w:pPr>
              <w:spacing w:after="0"/>
              <w:rPr>
                <w:sz w:val="13"/>
                <w:szCs w:val="13"/>
                <w:color w:val="auto"/>
              </w:rPr>
            </w:pPr>
          </w:p>
        </w:tc>
        <w:tc>
          <w:tcPr>
            <w:tcW w:w="780" w:type="dxa"/>
            <w:vAlign w:val="bottom"/>
            <w:gridSpan w:val="20"/>
          </w:tcPr>
          <w:p>
            <w:pPr>
              <w:jc w:val="center"/>
              <w:ind w:right="440"/>
              <w:spacing w:after="0" w:line="156" w:lineRule="exact"/>
              <w:rPr>
                <w:rFonts w:ascii="Arial" w:cs="Arial" w:eastAsia="Arial" w:hAnsi="Arial"/>
                <w:sz w:val="18"/>
                <w:szCs w:val="18"/>
                <w:color w:val="0563C1"/>
                <w:w w:val="86"/>
              </w:rPr>
            </w:pPr>
            <w:hyperlink r:id="rId476">
              <w:r>
                <w:rPr>
                  <w:rFonts w:ascii="Arial" w:cs="Arial" w:eastAsia="Arial" w:hAnsi="Arial"/>
                  <w:sz w:val="18"/>
                  <w:szCs w:val="18"/>
                  <w:color w:val="0563C1"/>
                  <w:w w:val="86"/>
                </w:rPr>
                <w:t>and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580" w:type="dxa"/>
            <w:vAlign w:val="bottom"/>
            <w:tcBorders>
              <w:top w:val="single" w:sz="8" w:color="0563C1"/>
            </w:tcBorders>
            <w:gridSpan w:val="21"/>
          </w:tcPr>
          <w:p>
            <w:pPr>
              <w:spacing w:after="0" w:line="156" w:lineRule="exact"/>
              <w:rPr>
                <w:rFonts w:ascii="Arial" w:cs="Arial" w:eastAsia="Arial" w:hAnsi="Arial"/>
                <w:sz w:val="18"/>
                <w:szCs w:val="18"/>
                <w:color w:val="0563C1"/>
              </w:rPr>
            </w:pPr>
            <w:hyperlink r:id="rId476">
              <w:r>
                <w:rPr>
                  <w:rFonts w:ascii="Arial" w:cs="Arial" w:eastAsia="Arial" w:hAnsi="Arial"/>
                  <w:sz w:val="18"/>
                  <w:szCs w:val="18"/>
                  <w:color w:val="0563C1"/>
                </w:rPr>
                <w:t>incorporated by reference herein).</w:t>
              </w:r>
            </w:hyperlink>
          </w:p>
        </w:tc>
        <w:tc>
          <w:tcPr>
            <w:tcW w:w="14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10.20</w:t>
            </w:r>
          </w:p>
        </w:tc>
        <w:tc>
          <w:tcPr>
            <w:tcW w:w="2460" w:type="dxa"/>
            <w:vAlign w:val="bottom"/>
            <w:tcBorders>
              <w:top w:val="single" w:sz="8" w:color="0563C1"/>
            </w:tcBorders>
            <w:gridSpan w:val="5"/>
          </w:tcPr>
          <w:p>
            <w:pPr>
              <w:spacing w:after="0" w:line="169" w:lineRule="exact"/>
              <w:rPr>
                <w:rFonts w:ascii="Arial" w:cs="Arial" w:eastAsia="Arial" w:hAnsi="Arial"/>
                <w:sz w:val="18"/>
                <w:szCs w:val="18"/>
                <w:color w:val="0563C1"/>
                <w:w w:val="90"/>
              </w:rPr>
            </w:pPr>
            <w:hyperlink r:id="rId477">
              <w:r>
                <w:rPr>
                  <w:rFonts w:ascii="Arial" w:cs="Arial" w:eastAsia="Arial" w:hAnsi="Arial"/>
                  <w:sz w:val="18"/>
                  <w:szCs w:val="18"/>
                  <w:color w:val="0563C1"/>
                  <w:w w:val="90"/>
                </w:rPr>
                <w:t>Loan and Security Agreement, by</w:t>
              </w:r>
            </w:hyperlink>
          </w:p>
        </w:tc>
        <w:tc>
          <w:tcPr>
            <w:tcW w:w="7560" w:type="dxa"/>
            <w:vAlign w:val="bottom"/>
            <w:gridSpan w:val="32"/>
          </w:tcPr>
          <w:p>
            <w:pPr>
              <w:ind w:left="20"/>
              <w:spacing w:after="0" w:line="169" w:lineRule="exact"/>
              <w:rPr>
                <w:rFonts w:ascii="Arial" w:cs="Arial" w:eastAsia="Arial" w:hAnsi="Arial"/>
                <w:sz w:val="18"/>
                <w:szCs w:val="18"/>
                <w:color w:val="0563C1"/>
                <w:w w:val="93"/>
              </w:rPr>
            </w:pPr>
            <w:hyperlink r:id="rId477">
              <w:r>
                <w:rPr>
                  <w:rFonts w:ascii="Arial" w:cs="Arial" w:eastAsia="Arial" w:hAnsi="Arial"/>
                  <w:sz w:val="18"/>
                  <w:szCs w:val="18"/>
                  <w:color w:val="0563C1"/>
                  <w:w w:val="93"/>
                </w:rPr>
                <w:t>and between the registrant and Silicon Valley Bank, dated September 23, 2019 (filed as Exhibit 10.23</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840" w:type="dxa"/>
            <w:vAlign w:val="bottom"/>
            <w:tcBorders>
              <w:top w:val="single" w:sz="8" w:color="0563C1"/>
            </w:tcBorders>
            <w:gridSpan w:val="28"/>
          </w:tcPr>
          <w:p>
            <w:pPr>
              <w:spacing w:after="0" w:line="156" w:lineRule="exact"/>
              <w:rPr>
                <w:rFonts w:ascii="Arial" w:cs="Arial" w:eastAsia="Arial" w:hAnsi="Arial"/>
                <w:sz w:val="18"/>
                <w:szCs w:val="18"/>
                <w:color w:val="0563C1"/>
                <w:w w:val="91"/>
              </w:rPr>
            </w:pPr>
            <w:hyperlink r:id="rId477">
              <w:r>
                <w:rPr>
                  <w:rFonts w:ascii="Arial" w:cs="Arial" w:eastAsia="Arial" w:hAnsi="Arial"/>
                  <w:sz w:val="18"/>
                  <w:szCs w:val="18"/>
                  <w:color w:val="0563C1"/>
                  <w:w w:val="91"/>
                </w:rPr>
                <w:t>to the registrant’s Registration Statement on Form S-1, as amended (File No. 333-248924), filed with the SEC on September 18, 2020,</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720" w:type="dxa"/>
            <w:vAlign w:val="bottom"/>
            <w:tcBorders>
              <w:top w:val="single" w:sz="8" w:color="0563C1"/>
            </w:tcBorders>
            <w:gridSpan w:val="25"/>
          </w:tcPr>
          <w:p>
            <w:pPr>
              <w:spacing w:after="0" w:line="156" w:lineRule="exact"/>
              <w:rPr>
                <w:rFonts w:ascii="Arial" w:cs="Arial" w:eastAsia="Arial" w:hAnsi="Arial"/>
                <w:sz w:val="18"/>
                <w:szCs w:val="18"/>
                <w:color w:val="0563C1"/>
              </w:rPr>
            </w:pPr>
            <w:hyperlink r:id="rId477">
              <w:r>
                <w:rPr>
                  <w:rFonts w:ascii="Arial" w:cs="Arial" w:eastAsia="Arial" w:hAnsi="Arial"/>
                  <w:sz w:val="18"/>
                  <w:szCs w:val="18"/>
                  <w:color w:val="0563C1"/>
                </w:rPr>
                <w:t>and incorporated by reference herein).</w:t>
              </w:r>
            </w:hyperlink>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10.21</w:t>
            </w:r>
          </w:p>
        </w:tc>
        <w:tc>
          <w:tcPr>
            <w:tcW w:w="2740" w:type="dxa"/>
            <w:vAlign w:val="bottom"/>
            <w:tcBorders>
              <w:top w:val="single" w:sz="8" w:color="0563C1"/>
            </w:tcBorders>
            <w:gridSpan w:val="6"/>
          </w:tcPr>
          <w:p>
            <w:pPr>
              <w:spacing w:after="0" w:line="169" w:lineRule="exact"/>
              <w:rPr>
                <w:rFonts w:ascii="Arial" w:cs="Arial" w:eastAsia="Arial" w:hAnsi="Arial"/>
                <w:sz w:val="18"/>
                <w:szCs w:val="18"/>
                <w:color w:val="0563C1"/>
                <w:w w:val="88"/>
              </w:rPr>
            </w:pPr>
            <w:hyperlink r:id="rId478">
              <w:r>
                <w:rPr>
                  <w:rFonts w:ascii="Arial" w:cs="Arial" w:eastAsia="Arial" w:hAnsi="Arial"/>
                  <w:sz w:val="18"/>
                  <w:szCs w:val="18"/>
                  <w:color w:val="0563C1"/>
                  <w:w w:val="88"/>
                </w:rPr>
                <w:t>First Amendment to Loan and Security</w:t>
              </w:r>
            </w:hyperlink>
          </w:p>
        </w:tc>
        <w:tc>
          <w:tcPr>
            <w:tcW w:w="7280" w:type="dxa"/>
            <w:vAlign w:val="bottom"/>
            <w:gridSpan w:val="31"/>
          </w:tcPr>
          <w:p>
            <w:pPr>
              <w:ind w:left="120"/>
              <w:spacing w:after="0" w:line="169" w:lineRule="exact"/>
              <w:rPr>
                <w:rFonts w:ascii="Arial" w:cs="Arial" w:eastAsia="Arial" w:hAnsi="Arial"/>
                <w:sz w:val="18"/>
                <w:szCs w:val="18"/>
                <w:color w:val="0563C1"/>
                <w:w w:val="91"/>
              </w:rPr>
            </w:pPr>
            <w:hyperlink r:id="rId478">
              <w:r>
                <w:rPr>
                  <w:rFonts w:ascii="Arial" w:cs="Arial" w:eastAsia="Arial" w:hAnsi="Arial"/>
                  <w:sz w:val="18"/>
                  <w:szCs w:val="18"/>
                  <w:color w:val="0563C1"/>
                  <w:w w:val="91"/>
                </w:rPr>
                <w:t>Agreement, by and between the registrant and Silicon Valley Bank dated March 19, 2021 (filed as</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0000" w:type="dxa"/>
            <w:vAlign w:val="bottom"/>
            <w:tcBorders>
              <w:top w:val="single" w:sz="8" w:color="0563C1"/>
            </w:tcBorders>
            <w:gridSpan w:val="36"/>
          </w:tcPr>
          <w:p>
            <w:pPr>
              <w:spacing w:after="0" w:line="156" w:lineRule="exact"/>
              <w:rPr>
                <w:rFonts w:ascii="Arial" w:cs="Arial" w:eastAsia="Arial" w:hAnsi="Arial"/>
                <w:sz w:val="18"/>
                <w:szCs w:val="18"/>
                <w:color w:val="0563C1"/>
                <w:w w:val="99"/>
              </w:rPr>
            </w:pPr>
            <w:hyperlink r:id="rId478">
              <w:r>
                <w:rPr>
                  <w:rFonts w:ascii="Arial" w:cs="Arial" w:eastAsia="Arial" w:hAnsi="Arial"/>
                  <w:sz w:val="18"/>
                  <w:szCs w:val="18"/>
                  <w:color w:val="0563C1"/>
                  <w:w w:val="99"/>
                </w:rPr>
                <w:t>Exhibit 10.19 to the registrant's Annual Report on Form 10-K (File No. 001-39594), filed with the SEC on March 22, 2021,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240" w:type="dxa"/>
            <w:vAlign w:val="bottom"/>
            <w:tcBorders>
              <w:top w:val="single" w:sz="8" w:color="0563C1"/>
            </w:tcBorders>
            <w:gridSpan w:val="17"/>
          </w:tcPr>
          <w:p>
            <w:pPr>
              <w:spacing w:after="0" w:line="156" w:lineRule="exact"/>
              <w:rPr>
                <w:rFonts w:ascii="Arial" w:cs="Arial" w:eastAsia="Arial" w:hAnsi="Arial"/>
                <w:sz w:val="18"/>
                <w:szCs w:val="18"/>
                <w:color w:val="0563C1"/>
              </w:rPr>
            </w:pPr>
            <w:hyperlink r:id="rId478">
              <w:r>
                <w:rPr>
                  <w:rFonts w:ascii="Arial" w:cs="Arial" w:eastAsia="Arial" w:hAnsi="Arial"/>
                  <w:sz w:val="18"/>
                  <w:szCs w:val="18"/>
                  <w:color w:val="0563C1"/>
                </w:rPr>
                <w:t>incorporated by reference herein).</w:t>
              </w:r>
            </w:hyperlink>
          </w:p>
        </w:tc>
        <w:tc>
          <w:tcPr>
            <w:tcW w:w="7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280" w:type="dxa"/>
            <w:vAlign w:val="bottom"/>
            <w:vMerge w:val="restart"/>
          </w:tcPr>
          <w:p>
            <w:pPr>
              <w:ind w:left="20"/>
              <w:spacing w:after="0" w:line="169" w:lineRule="exact"/>
              <w:rPr>
                <w:sz w:val="20"/>
                <w:szCs w:val="20"/>
                <w:color w:val="auto"/>
              </w:rPr>
            </w:pPr>
            <w:r>
              <w:rPr>
                <w:rFonts w:ascii="Arial" w:cs="Arial" w:eastAsia="Arial" w:hAnsi="Arial"/>
                <w:sz w:val="18"/>
                <w:szCs w:val="18"/>
                <w:color w:val="auto"/>
              </w:rPr>
              <w:t>10.22*</w:t>
            </w:r>
          </w:p>
        </w:tc>
        <w:tc>
          <w:tcPr>
            <w:tcW w:w="2180" w:type="dxa"/>
            <w:vAlign w:val="bottom"/>
            <w:tcBorders>
              <w:top w:val="single" w:sz="8" w:color="0563C1"/>
              <w:bottom w:val="single" w:sz="8" w:color="0563C1"/>
            </w:tcBorders>
            <w:gridSpan w:val="3"/>
            <w:vMerge w:val="restart"/>
          </w:tcPr>
          <w:p>
            <w:pPr>
              <w:spacing w:after="0" w:line="169" w:lineRule="exact"/>
              <w:rPr>
                <w:rFonts w:ascii="Arial" w:cs="Arial" w:eastAsia="Arial" w:hAnsi="Arial"/>
                <w:sz w:val="18"/>
                <w:szCs w:val="18"/>
                <w:color w:val="0563C1"/>
                <w:w w:val="89"/>
              </w:rPr>
            </w:pPr>
            <w:hyperlink w:anchor="page150">
              <w:r>
                <w:rPr>
                  <w:rFonts w:ascii="Arial" w:cs="Arial" w:eastAsia="Arial" w:hAnsi="Arial"/>
                  <w:sz w:val="18"/>
                  <w:szCs w:val="18"/>
                  <w:color w:val="0563C1"/>
                  <w:w w:val="89"/>
                </w:rPr>
                <w:t>Open Market Sale Agreement</w:t>
              </w:r>
            </w:hyperlink>
          </w:p>
        </w:tc>
        <w:tc>
          <w:tcPr>
            <w:tcW w:w="140" w:type="dxa"/>
            <w:vAlign w:val="bottom"/>
            <w:tcBorders>
              <w:top w:val="single" w:sz="8" w:color="0563C1"/>
              <w:bottom w:val="single" w:sz="8" w:color="0563C1"/>
            </w:tcBorders>
          </w:tcPr>
          <w:p>
            <w:pPr>
              <w:spacing w:after="0" w:line="75" w:lineRule="exact"/>
              <w:rPr>
                <w:rFonts w:ascii="Arial" w:cs="Arial" w:eastAsia="Arial" w:hAnsi="Arial"/>
                <w:sz w:val="8"/>
                <w:szCs w:val="8"/>
                <w:color w:val="0563C1"/>
                <w:w w:val="99"/>
              </w:rPr>
            </w:pPr>
            <w:hyperlink w:anchor="page150">
              <w:r>
                <w:rPr>
                  <w:rFonts w:ascii="Arial" w:cs="Arial" w:eastAsia="Arial" w:hAnsi="Arial"/>
                  <w:sz w:val="8"/>
                  <w:szCs w:val="8"/>
                  <w:color w:val="0563C1"/>
                  <w:w w:val="99"/>
                </w:rPr>
                <w:t>SM</w:t>
              </w:r>
            </w:hyperlink>
          </w:p>
        </w:tc>
        <w:tc>
          <w:tcPr>
            <w:tcW w:w="140" w:type="dxa"/>
            <w:vAlign w:val="bottom"/>
            <w:tcBorders>
              <w:top w:val="single" w:sz="8" w:color="0563C1"/>
              <w:bottom w:val="single" w:sz="8" w:color="0563C1"/>
            </w:tcBorders>
            <w:vMerge w:val="restart"/>
          </w:tcPr>
          <w:p>
            <w:pPr>
              <w:jc w:val="right"/>
              <w:ind w:right="49"/>
              <w:spacing w:after="0"/>
              <w:rPr>
                <w:rFonts w:ascii="Arial" w:cs="Arial" w:eastAsia="Arial" w:hAnsi="Arial"/>
                <w:sz w:val="10"/>
                <w:szCs w:val="10"/>
                <w:color w:val="0563C1"/>
                <w:w w:val="70"/>
              </w:rPr>
            </w:pPr>
            <w:hyperlink w:anchor="page150">
              <w:r>
                <w:rPr>
                  <w:rFonts w:ascii="Arial" w:cs="Arial" w:eastAsia="Arial" w:hAnsi="Arial"/>
                  <w:sz w:val="10"/>
                  <w:szCs w:val="10"/>
                  <w:color w:val="0563C1"/>
                  <w:w w:val="70"/>
                </w:rPr>
                <w:t>,</w:t>
              </w:r>
            </w:hyperlink>
          </w:p>
        </w:tc>
        <w:tc>
          <w:tcPr>
            <w:tcW w:w="7560" w:type="dxa"/>
            <w:vAlign w:val="bottom"/>
            <w:gridSpan w:val="32"/>
            <w:vMerge w:val="restart"/>
          </w:tcPr>
          <w:p>
            <w:pPr>
              <w:jc w:val="center"/>
              <w:ind w:right="2260"/>
              <w:spacing w:after="0" w:line="169" w:lineRule="exact"/>
              <w:rPr>
                <w:rFonts w:ascii="Arial" w:cs="Arial" w:eastAsia="Arial" w:hAnsi="Arial"/>
                <w:sz w:val="18"/>
                <w:szCs w:val="18"/>
                <w:color w:val="0563C1"/>
                <w:w w:val="89"/>
              </w:rPr>
            </w:pPr>
            <w:hyperlink w:anchor="page150">
              <w:r>
                <w:rPr>
                  <w:rFonts w:ascii="Arial" w:cs="Arial" w:eastAsia="Arial" w:hAnsi="Arial"/>
                  <w:sz w:val="18"/>
                  <w:szCs w:val="18"/>
                  <w:color w:val="0563C1"/>
                  <w:w w:val="89"/>
                </w:rPr>
                <w:t>by and between the registrant and Jefferies LLC, dated February 25, 2022.</w:t>
              </w:r>
            </w:hyperlink>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56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10.23+*</w:t>
            </w:r>
          </w:p>
        </w:tc>
        <w:tc>
          <w:tcPr>
            <w:tcW w:w="2180" w:type="dxa"/>
            <w:vAlign w:val="bottom"/>
            <w:tcBorders>
              <w:right w:val="single" w:sz="8" w:color="0000EE"/>
            </w:tcBorders>
            <w:gridSpan w:val="3"/>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gridSpan w:val="5"/>
            <w:shd w:val="clear" w:color="auto" w:fill="0563C1"/>
          </w:tcPr>
          <w:p>
            <w:pPr>
              <w:spacing w:after="0" w:line="20" w:lineRule="exact"/>
              <w:rPr>
                <w:sz w:val="1"/>
                <w:szCs w:val="1"/>
                <w:color w:val="auto"/>
              </w:rPr>
            </w:pPr>
          </w:p>
        </w:tc>
        <w:tc>
          <w:tcPr>
            <w:tcW w:w="2300" w:type="dxa"/>
            <w:vAlign w:val="bottom"/>
            <w:shd w:val="clear" w:color="auto" w:fill="0563C1"/>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0020" w:type="dxa"/>
            <w:vAlign w:val="bottom"/>
            <w:gridSpan w:val="37"/>
          </w:tcPr>
          <w:p>
            <w:pPr>
              <w:spacing w:after="0" w:line="169" w:lineRule="exact"/>
              <w:rPr>
                <w:rFonts w:ascii="Arial" w:cs="Arial" w:eastAsia="Arial" w:hAnsi="Arial"/>
                <w:sz w:val="18"/>
                <w:szCs w:val="18"/>
                <w:color w:val="0563C1"/>
              </w:rPr>
            </w:pPr>
            <w:hyperlink w:anchor="page189">
              <w:r>
                <w:rPr>
                  <w:rFonts w:ascii="Arial" w:cs="Arial" w:eastAsia="Arial" w:hAnsi="Arial"/>
                  <w:sz w:val="18"/>
                  <w:szCs w:val="18"/>
                  <w:color w:val="0563C1"/>
                </w:rPr>
                <w:t>Separation and Release Agreement, dated March 11, 2022, by and between the registrant and Rosh Dias, M.D., M.R.C.P.</w:t>
              </w:r>
            </w:hyperlink>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10.24+*</w:t>
            </w:r>
          </w:p>
        </w:tc>
        <w:tc>
          <w:tcPr>
            <w:tcW w:w="8700" w:type="dxa"/>
            <w:vAlign w:val="bottom"/>
            <w:tcBorders>
              <w:top w:val="single" w:sz="8" w:color="0563C1"/>
            </w:tcBorders>
            <w:gridSpan w:val="13"/>
          </w:tcPr>
          <w:p>
            <w:pPr>
              <w:spacing w:after="0" w:line="169" w:lineRule="exact"/>
              <w:rPr>
                <w:rFonts w:ascii="Arial" w:cs="Arial" w:eastAsia="Arial" w:hAnsi="Arial"/>
                <w:sz w:val="18"/>
                <w:szCs w:val="18"/>
                <w:color w:val="0563C1"/>
                <w:w w:val="98"/>
              </w:rPr>
            </w:pPr>
            <w:hyperlink w:anchor="page194">
              <w:r>
                <w:rPr>
                  <w:rFonts w:ascii="Arial" w:cs="Arial" w:eastAsia="Arial" w:hAnsi="Arial"/>
                  <w:sz w:val="18"/>
                  <w:szCs w:val="18"/>
                  <w:color w:val="0563C1"/>
                  <w:w w:val="98"/>
                </w:rPr>
                <w:t>Offer Letter, by and between the registrant and Ralph William Charlton III, M.D., M.A.S., dated March 14, 2022</w:t>
              </w:r>
            </w:hyperlink>
            <w:r>
              <w:rPr>
                <w:rFonts w:ascii="Arial" w:cs="Arial" w:eastAsia="Arial" w:hAnsi="Arial"/>
                <w:sz w:val="18"/>
                <w:szCs w:val="18"/>
                <w:color w:val="0563C1"/>
                <w:w w:val="98"/>
              </w:rPr>
              <w:t>.</w:t>
            </w:r>
          </w:p>
        </w:tc>
        <w:tc>
          <w:tcPr>
            <w:tcW w:w="132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line="169" w:lineRule="exact"/>
              <w:rPr>
                <w:sz w:val="20"/>
                <w:szCs w:val="20"/>
                <w:color w:val="auto"/>
              </w:rPr>
            </w:pPr>
            <w:r>
              <w:rPr>
                <w:rFonts w:ascii="Arial" w:cs="Arial" w:eastAsia="Arial" w:hAnsi="Arial"/>
                <w:sz w:val="18"/>
                <w:szCs w:val="18"/>
                <w:color w:val="auto"/>
              </w:rPr>
              <w:t>23.1*</w:t>
            </w:r>
          </w:p>
        </w:tc>
        <w:tc>
          <w:tcPr>
            <w:tcW w:w="8120" w:type="dxa"/>
            <w:vAlign w:val="bottom"/>
            <w:tcBorders>
              <w:top w:val="single" w:sz="8" w:color="0563C1"/>
            </w:tcBorders>
            <w:gridSpan w:val="12"/>
          </w:tcPr>
          <w:p>
            <w:pPr>
              <w:spacing w:after="0" w:line="169" w:lineRule="exact"/>
              <w:rPr>
                <w:rFonts w:ascii="Arial" w:cs="Arial" w:eastAsia="Arial" w:hAnsi="Arial"/>
                <w:sz w:val="18"/>
                <w:szCs w:val="18"/>
                <w:color w:val="0563C1"/>
              </w:rPr>
            </w:pPr>
            <w:hyperlink w:anchor="page198">
              <w:r>
                <w:rPr>
                  <w:rFonts w:ascii="Arial" w:cs="Arial" w:eastAsia="Arial" w:hAnsi="Arial"/>
                  <w:sz w:val="18"/>
                  <w:szCs w:val="18"/>
                  <w:color w:val="0563C1"/>
                </w:rPr>
                <w:t>Consent of BDO USA, LLP, independent registered public accounting firm.</w:t>
              </w:r>
            </w:hyperlink>
          </w:p>
        </w:tc>
        <w:tc>
          <w:tcPr>
            <w:tcW w:w="190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642"/>
        </w:trPr>
        <w:tc>
          <w:tcPr>
            <w:tcW w:w="1280" w:type="dxa"/>
            <w:vAlign w:val="bottom"/>
          </w:tcPr>
          <w:p>
            <w:pPr>
              <w:spacing w:after="0"/>
              <w:rPr>
                <w:sz w:val="24"/>
                <w:szCs w:val="24"/>
                <w:color w:val="auto"/>
              </w:rPr>
            </w:pPr>
          </w:p>
        </w:tc>
        <w:tc>
          <w:tcPr>
            <w:tcW w:w="5460" w:type="dxa"/>
            <w:vAlign w:val="bottom"/>
            <w:tcBorders>
              <w:top w:val="single" w:sz="8" w:color="0563C1"/>
            </w:tcBorders>
            <w:gridSpan w:val="9"/>
          </w:tcPr>
          <w:p>
            <w:pPr>
              <w:ind w:left="4200"/>
              <w:spacing w:after="0"/>
              <w:rPr>
                <w:sz w:val="20"/>
                <w:szCs w:val="20"/>
                <w:color w:val="auto"/>
              </w:rPr>
            </w:pPr>
            <w:r>
              <w:rPr>
                <w:rFonts w:ascii="Arial" w:cs="Arial" w:eastAsia="Arial" w:hAnsi="Arial"/>
                <w:sz w:val="18"/>
                <w:szCs w:val="18"/>
                <w:color w:val="auto"/>
              </w:rPr>
              <w:t>145</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24.1</w:t>
            </w:r>
          </w:p>
        </w:tc>
        <w:tc>
          <w:tcPr>
            <w:tcW w:w="2940" w:type="dxa"/>
            <w:vAlign w:val="bottom"/>
            <w:tcBorders>
              <w:bottom w:val="single" w:sz="8" w:color="0563C1"/>
            </w:tcBorders>
            <w:gridSpan w:val="2"/>
          </w:tcPr>
          <w:p>
            <w:pPr>
              <w:spacing w:after="0"/>
              <w:rPr>
                <w:rFonts w:ascii="Arial" w:cs="Arial" w:eastAsia="Arial" w:hAnsi="Arial"/>
                <w:sz w:val="18"/>
                <w:szCs w:val="18"/>
                <w:color w:val="0563C1"/>
                <w:w w:val="89"/>
              </w:rPr>
            </w:pPr>
            <w:hyperlink w:anchor="page149">
              <w:r>
                <w:rPr>
                  <w:rFonts w:ascii="Arial" w:cs="Arial" w:eastAsia="Arial" w:hAnsi="Arial"/>
                  <w:sz w:val="18"/>
                  <w:szCs w:val="18"/>
                  <w:color w:val="0563C1"/>
                  <w:w w:val="89"/>
                </w:rPr>
                <w:t>Power of Attorney (see signature pages).</w:t>
              </w:r>
            </w:hyperlink>
          </w:p>
        </w:tc>
        <w:tc>
          <w:tcPr>
            <w:tcW w:w="67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9660" w:type="dxa"/>
            <w:vAlign w:val="bottom"/>
            <w:tcBorders>
              <w:bottom w:val="single" w:sz="8" w:color="0000FF"/>
            </w:tcBorders>
            <w:gridSpan w:val="8"/>
          </w:tcPr>
          <w:p>
            <w:pPr>
              <w:spacing w:after="0" w:line="169" w:lineRule="exact"/>
              <w:rPr>
                <w:rFonts w:ascii="Arial" w:cs="Arial" w:eastAsia="Arial" w:hAnsi="Arial"/>
                <w:sz w:val="18"/>
                <w:szCs w:val="18"/>
                <w:color w:val="0000FF"/>
                <w:w w:val="91"/>
              </w:rPr>
            </w:pPr>
            <w:hyperlink w:anchor="page199">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980" w:type="dxa"/>
            <w:vAlign w:val="bottom"/>
            <w:tcBorders>
              <w:bottom w:val="single" w:sz="8" w:color="0000FF"/>
            </w:tcBorders>
            <w:gridSpan w:val="3"/>
          </w:tcPr>
          <w:p>
            <w:pPr>
              <w:spacing w:after="0" w:line="156" w:lineRule="exact"/>
              <w:rPr>
                <w:rFonts w:ascii="Arial" w:cs="Arial" w:eastAsia="Arial" w:hAnsi="Arial"/>
                <w:sz w:val="18"/>
                <w:szCs w:val="18"/>
                <w:color w:val="0000FF"/>
                <w:w w:val="90"/>
              </w:rPr>
            </w:pPr>
            <w:hyperlink w:anchor="page199">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46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660" w:type="dxa"/>
            <w:vAlign w:val="bottom"/>
            <w:gridSpan w:val="8"/>
          </w:tcPr>
          <w:p>
            <w:pPr>
              <w:spacing w:after="0" w:line="169" w:lineRule="exact"/>
              <w:rPr>
                <w:rFonts w:ascii="Arial" w:cs="Arial" w:eastAsia="Arial" w:hAnsi="Arial"/>
                <w:sz w:val="18"/>
                <w:szCs w:val="18"/>
                <w:color w:val="0000FF"/>
                <w:w w:val="91"/>
              </w:rPr>
            </w:pPr>
            <w:hyperlink w:anchor="page200">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200">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660" w:type="dxa"/>
            <w:vAlign w:val="bottom"/>
            <w:gridSpan w:val="8"/>
          </w:tcPr>
          <w:p>
            <w:pPr>
              <w:spacing w:after="0" w:line="169" w:lineRule="exact"/>
              <w:rPr>
                <w:rFonts w:ascii="Arial" w:cs="Arial" w:eastAsia="Arial" w:hAnsi="Arial"/>
                <w:sz w:val="18"/>
                <w:szCs w:val="18"/>
                <w:color w:val="0000FF"/>
                <w:w w:val="91"/>
              </w:rPr>
            </w:pPr>
            <w:hyperlink w:anchor="page201">
              <w:r>
                <w:rPr>
                  <w:rFonts w:ascii="Arial" w:cs="Arial" w:eastAsia="Arial" w:hAnsi="Arial"/>
                  <w:sz w:val="18"/>
                  <w:szCs w:val="18"/>
                  <w:color w:val="0000FF"/>
                  <w:w w:val="91"/>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26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96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201">
              <w:r>
                <w:rPr>
                  <w:rFonts w:ascii="Arial" w:cs="Arial" w:eastAsia="Arial" w:hAnsi="Arial"/>
                  <w:sz w:val="18"/>
                  <w:szCs w:val="18"/>
                  <w:color w:val="0000FF"/>
                </w:rPr>
                <w:t>Oxley Act of 2002.</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660" w:type="dxa"/>
            <w:vAlign w:val="bottom"/>
            <w:gridSpan w:val="8"/>
          </w:tcPr>
          <w:p>
            <w:pPr>
              <w:spacing w:after="0" w:line="169" w:lineRule="exact"/>
              <w:rPr>
                <w:rFonts w:ascii="Arial" w:cs="Arial" w:eastAsia="Arial" w:hAnsi="Arial"/>
                <w:sz w:val="18"/>
                <w:szCs w:val="18"/>
                <w:color w:val="0000FF"/>
                <w:w w:val="91"/>
              </w:rPr>
            </w:pPr>
            <w:hyperlink w:anchor="page202">
              <w:r>
                <w:rPr>
                  <w:rFonts w:ascii="Arial" w:cs="Arial" w:eastAsia="Arial" w:hAnsi="Arial"/>
                  <w:sz w:val="18"/>
                  <w:szCs w:val="18"/>
                  <w:color w:val="0000FF"/>
                  <w:w w:val="91"/>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5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202">
              <w:r>
                <w:rPr>
                  <w:rFonts w:ascii="Arial" w:cs="Arial" w:eastAsia="Arial" w:hAnsi="Arial"/>
                  <w:sz w:val="18"/>
                  <w:szCs w:val="18"/>
                  <w:color w:val="0000FF"/>
                </w:rPr>
                <w:t>Oxley Act of 2002.</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260" w:type="dxa"/>
            <w:vAlign w:val="bottom"/>
            <w:vMerge w:val="continue"/>
          </w:tcPr>
          <w:p>
            <w:pPr>
              <w:spacing w:after="0"/>
              <w:rPr>
                <w:sz w:val="14"/>
                <w:szCs w:val="14"/>
                <w:color w:val="auto"/>
              </w:rPr>
            </w:pPr>
          </w:p>
        </w:tc>
        <w:tc>
          <w:tcPr>
            <w:tcW w:w="9660" w:type="dxa"/>
            <w:vAlign w:val="bottom"/>
            <w:gridSpan w:val="8"/>
          </w:tcPr>
          <w:p>
            <w:pPr>
              <w:spacing w:after="0" w:line="168" w:lineRule="exact"/>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96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96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96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96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40" w:hanging="1219"/>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04" w:lineRule="exact"/>
        <w:rPr>
          <w:sz w:val="20"/>
          <w:szCs w:val="20"/>
          <w:color w:val="auto"/>
        </w:rPr>
      </w:pPr>
    </w:p>
    <w:p>
      <w:pPr>
        <w:ind w:right="220" w:firstLine="8"/>
        <w:spacing w:after="0" w:line="324" w:lineRule="auto"/>
        <w:tabs>
          <w:tab w:leader="none" w:pos="1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6" w:lineRule="exact"/>
        <w:rPr>
          <w:sz w:val="20"/>
          <w:szCs w:val="20"/>
          <w:color w:val="auto"/>
        </w:rPr>
      </w:pPr>
    </w:p>
    <w:p>
      <w:pPr>
        <w:ind w:right="520" w:firstLine="8"/>
        <w:spacing w:after="0" w:line="261" w:lineRule="auto"/>
        <w:tabs>
          <w:tab w:leader="none" w:pos="1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registrant undertakes to furnish supplemental copies of any of the omitted schedules upon request by the SEC.</w:t>
      </w:r>
    </w:p>
    <w:p>
      <w:pPr>
        <w:spacing w:after="0" w:line="63" w:lineRule="exact"/>
        <w:rPr>
          <w:sz w:val="20"/>
          <w:szCs w:val="20"/>
          <w:color w:val="auto"/>
        </w:rPr>
      </w:pPr>
    </w:p>
    <w:p>
      <w:pPr>
        <w:ind w:firstLine="8"/>
        <w:spacing w:after="0" w:line="248" w:lineRule="auto"/>
        <w:tabs>
          <w:tab w:leader="none" w:pos="1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unless the Registrant specifically incorporates the foregoing information into those documents by reference.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7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SPRUCE BIOSCIENCES, INC.</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14,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12065</wp:posOffset>
            </wp:positionV>
            <wp:extent cx="329184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860" w:space="720"/>
            <w:col w:w="1100" w:space="720"/>
            <w:col w:w="3840"/>
          </w:cols>
          <w:pgMar w:left="320" w:top="125" w:right="339" w:bottom="1440" w:gutter="0" w:footer="0" w:header="0"/>
          <w:type w:val="continuous"/>
        </w:sectPr>
      </w:pPr>
    </w:p>
    <w:p>
      <w:pPr>
        <w:jc w:val="center"/>
        <w:ind w:left="6040"/>
        <w:spacing w:after="0" w:line="230" w:lineRule="auto"/>
        <w:rPr>
          <w:sz w:val="20"/>
          <w:szCs w:val="20"/>
          <w:color w:val="auto"/>
        </w:rPr>
      </w:pPr>
      <w:r>
        <w:rPr>
          <w:rFonts w:ascii="Arial" w:cs="Arial" w:eastAsia="Arial" w:hAnsi="Arial"/>
          <w:sz w:val="18"/>
          <w:szCs w:val="18"/>
          <w:color w:val="auto"/>
        </w:rPr>
        <w:t>Javier Szwarcberg, M.D., MPH</w:t>
      </w:r>
    </w:p>
    <w:p>
      <w:pPr>
        <w:jc w:val="center"/>
        <w:ind w:left="604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right="80" w:firstLine="629"/>
        <w:spacing w:after="0" w:line="207" w:lineRule="exact"/>
        <w:rPr>
          <w:sz w:val="20"/>
          <w:szCs w:val="20"/>
          <w:color w:val="auto"/>
        </w:rPr>
      </w:pPr>
      <w:r>
        <w:rPr>
          <w:rFonts w:ascii="Arial" w:cs="Arial" w:eastAsia="Arial" w:hAnsi="Arial"/>
          <w:sz w:val="16"/>
          <w:szCs w:val="16"/>
          <w:color w:val="auto"/>
        </w:rPr>
        <w:t>KNOW ALL PERSONS BY THESE PRESENTS, that each person whose signature appears below constitutes and appoints Javier Szwarcberg, M.D., MPH and Samir Gharib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24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8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Javier Szwarcberg, M.D., MPH</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Javier Szwarcberg, M.D., MPH</w:t>
            </w:r>
          </w:p>
        </w:tc>
        <w:tc>
          <w:tcPr>
            <w:tcW w:w="1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Samir Gharib</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Samir Gharib</w:t>
            </w:r>
          </w:p>
        </w:tc>
        <w:tc>
          <w:tcPr>
            <w:tcW w:w="1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Michael Grey</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Executive Chairman</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Michael Grey</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i w:val="1"/>
                <w:iCs w:val="1"/>
                <w:color w:val="auto"/>
                <w:w w:val="90"/>
              </w:rPr>
              <w:t>Tiba Aynechi,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Tiba Aynechi,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Dina Chaya, Ph.D., C.F.A.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Dina Chaya, Ph.D., C.F.A.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8"/>
                <w:szCs w:val="18"/>
                <w:i w:val="1"/>
                <w:iCs w:val="1"/>
                <w:color w:val="auto"/>
                <w:w w:val="94"/>
              </w:rPr>
              <w:t>Bali Muralidhar, M.D,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5"/>
              </w:rPr>
              <w:t>Bali Muralidhar, M.D,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xml:space="preserve">/s/ </w:t>
            </w:r>
            <w:r>
              <w:rPr>
                <w:rFonts w:ascii="Arial" w:cs="Arial" w:eastAsia="Arial" w:hAnsi="Arial"/>
                <w:sz w:val="18"/>
                <w:szCs w:val="18"/>
                <w:i w:val="1"/>
                <w:iCs w:val="1"/>
                <w:color w:val="auto"/>
                <w:w w:val="95"/>
              </w:rPr>
              <w:t>Niall O’Donnell,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6"/>
              </w:rPr>
              <w:t>Niall O’Donnell,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i w:val="1"/>
                <w:iCs w:val="1"/>
                <w:color w:val="auto"/>
                <w:w w:val="89"/>
              </w:rPr>
              <w:t>Camilla V. Simpson, M.Sc.</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Camilla V. Simpson, M.Sc.</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xml:space="preserve">/s/ </w:t>
            </w:r>
            <w:r>
              <w:rPr>
                <w:rFonts w:ascii="Arial" w:cs="Arial" w:eastAsia="Arial" w:hAnsi="Arial"/>
                <w:sz w:val="18"/>
                <w:szCs w:val="18"/>
                <w:i w:val="1"/>
                <w:iCs w:val="1"/>
                <w:color w:val="auto"/>
                <w:w w:val="90"/>
              </w:rPr>
              <w:t>Daniel Spiegelman</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Daniel Spiegelman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i w:val="1"/>
                <w:iCs w:val="1"/>
                <w:color w:val="auto"/>
                <w:w w:val="92"/>
              </w:rPr>
              <w:t>Kirk Ways, M.D, Ph.D.</w:t>
            </w:r>
          </w:p>
        </w:tc>
        <w:tc>
          <w:tcPr>
            <w:tcW w:w="1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March 14,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Kirk Ways, M.D,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593"/>
        </w:trPr>
        <w:tc>
          <w:tcPr>
            <w:tcW w:w="3720" w:type="dxa"/>
            <w:vAlign w:val="bottom"/>
          </w:tcPr>
          <w:p>
            <w:pPr>
              <w:spacing w:after="0"/>
              <w:rPr>
                <w:sz w:val="24"/>
                <w:szCs w:val="24"/>
                <w:color w:val="auto"/>
              </w:rPr>
            </w:pPr>
          </w:p>
        </w:tc>
        <w:tc>
          <w:tcPr>
            <w:tcW w:w="5000" w:type="dxa"/>
            <w:vAlign w:val="bottom"/>
            <w:gridSpan w:val="2"/>
          </w:tcPr>
          <w:p>
            <w:pPr>
              <w:jc w:val="right"/>
              <w:ind w:right="287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9" w:name="page150"/>
    <w:bookmarkEnd w:id="149"/>
    <w:p>
      <w:pPr>
        <w:ind w:left="10020"/>
        <w:spacing w:after="0"/>
        <w:rPr>
          <w:sz w:val="20"/>
          <w:szCs w:val="20"/>
          <w:color w:val="auto"/>
        </w:rPr>
      </w:pPr>
      <w:r>
        <w:rPr>
          <w:rFonts w:ascii="Arial" w:cs="Arial" w:eastAsia="Arial" w:hAnsi="Arial"/>
          <w:sz w:val="19"/>
          <w:szCs w:val="19"/>
          <w:b w:val="1"/>
          <w:bCs w:val="1"/>
          <w:color w:val="auto"/>
        </w:rPr>
        <w:t>Exhibit 10.22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25,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color w:val="auto"/>
        </w:rPr>
        <w:t>Spruce Biosciences,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proposes, subject to the terms and conditions stated herein, to issue and sell from time to time through Jefferies LLC, as sales agent and/or principal (the “</w:t>
      </w:r>
      <w:r>
        <w:rPr>
          <w:rFonts w:ascii="Arial" w:cs="Arial" w:eastAsia="Arial" w:hAnsi="Arial"/>
          <w:sz w:val="21"/>
          <w:szCs w:val="21"/>
          <w:b w:val="1"/>
          <w:bCs w:val="1"/>
          <w:color w:val="auto"/>
        </w:rPr>
        <w:t>Agent</w:t>
      </w:r>
      <w:r>
        <w:rPr>
          <w:rFonts w:ascii="Arial" w:cs="Arial" w:eastAsia="Arial" w:hAnsi="Arial"/>
          <w:sz w:val="21"/>
          <w:szCs w:val="21"/>
          <w:color w:val="auto"/>
        </w:rPr>
        <w:t>”), shares of the Company’s common stock, par value $0.0001 per share (the “</w:t>
      </w:r>
      <w:r>
        <w:rPr>
          <w:rFonts w:ascii="Arial" w:cs="Arial" w:eastAsia="Arial" w:hAnsi="Arial"/>
          <w:sz w:val="21"/>
          <w:szCs w:val="21"/>
          <w:b w:val="1"/>
          <w:bCs w:val="1"/>
          <w:color w:val="auto"/>
        </w:rPr>
        <w:t>Common Shares</w:t>
      </w:r>
      <w:r>
        <w:rPr>
          <w:rFonts w:ascii="Arial" w:cs="Arial" w:eastAsia="Arial" w:hAnsi="Arial"/>
          <w:sz w:val="21"/>
          <w:szCs w:val="21"/>
          <w:color w:val="auto"/>
        </w:rPr>
        <w:t>”), having an aggregate offering price of up to $21,000,000 on the terms set forth in this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1.DEFINITIONS</w:t>
      </w:r>
    </w:p>
    <w:p>
      <w:pPr>
        <w:spacing w:after="0" w:line="212" w:lineRule="exact"/>
        <w:rPr>
          <w:sz w:val="20"/>
          <w:szCs w:val="20"/>
          <w:color w:val="auto"/>
        </w:rPr>
      </w:pPr>
    </w:p>
    <w:p>
      <w:pPr>
        <w:ind w:firstLine="757"/>
        <w:spacing w:after="0" w:line="250" w:lineRule="auto"/>
        <w:tabs>
          <w:tab w:leader="none" w:pos="151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capitalized terms used herein and not otherwise defined shall have the following respective meanings:</w:t>
      </w:r>
    </w:p>
    <w:p>
      <w:pPr>
        <w:spacing w:after="0" w:line="16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Agency Period</w:t>
      </w:r>
      <w:r>
        <w:rPr>
          <w:rFonts w:ascii="Arial" w:cs="Arial" w:eastAsia="Arial" w:hAnsi="Arial"/>
          <w:sz w:val="19"/>
          <w:szCs w:val="19"/>
          <w:color w:val="auto"/>
        </w:rPr>
        <w:t>” means the period commencing on the date of this Agreement and expiring on the earliest to occur of</w:t>
      </w:r>
    </w:p>
    <w:p>
      <w:pPr>
        <w:spacing w:after="0" w:line="49" w:lineRule="exact"/>
        <w:rPr>
          <w:sz w:val="20"/>
          <w:szCs w:val="20"/>
          <w:color w:val="auto"/>
        </w:rPr>
      </w:pPr>
    </w:p>
    <w:p>
      <w:pPr>
        <w:ind w:right="20" w:firstLine="8"/>
        <w:spacing w:after="0" w:line="236" w:lineRule="auto"/>
        <w:tabs>
          <w:tab w:leader="none" w:pos="321"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the date on which the Agent shall have placed the Maximum Program Amount pursuant to this Agreement and (y) the date this Agreement is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6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0" w:name="page151"/>
    <w:bookmarkEnd w:id="150"/>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Amount</w:t>
      </w:r>
      <w:r>
        <w:rPr>
          <w:rFonts w:ascii="Arial" w:cs="Arial" w:eastAsia="Arial" w:hAnsi="Arial"/>
          <w:sz w:val="19"/>
          <w:szCs w:val="19"/>
          <w:color w:val="auto"/>
        </w:rPr>
        <w:t>” means the aggregate Sales Price of the Shares to be sold by the Agent pursuant to any Issuance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182" w:lineRule="exact"/>
        <w:rPr>
          <w:sz w:val="20"/>
          <w:szCs w:val="20"/>
          <w:color w:val="auto"/>
        </w:rPr>
      </w:pPr>
    </w:p>
    <w:p>
      <w:pPr>
        <w:jc w:val="both"/>
        <w:ind w:right="20" w:firstLine="749"/>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Notice</w:t>
      </w:r>
      <w:r>
        <w:rPr>
          <w:rFonts w:ascii="Arial" w:cs="Arial" w:eastAsia="Arial" w:hAnsi="Arial"/>
          <w:sz w:val="19"/>
          <w:szCs w:val="19"/>
          <w:color w:val="auto"/>
        </w:rPr>
        <w:t xml:space="preserve">” means a written notice delivered to the Agent by the Company in accordance with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is executed by its Chief Executive Officer, or President and Chief Financial Officer.</w:t>
      </w:r>
    </w:p>
    <w:p>
      <w:pPr>
        <w:spacing w:after="0" w:line="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20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Program Amount</w:t>
      </w:r>
      <w:r>
        <w:rPr>
          <w:rFonts w:ascii="Arial" w:cs="Arial" w:eastAsia="Arial" w:hAnsi="Arial"/>
          <w:sz w:val="21"/>
          <w:szCs w:val="21"/>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77"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Sales Price</w:t>
      </w:r>
      <w:r>
        <w:rPr>
          <w:rFonts w:ascii="Arial" w:cs="Arial" w:eastAsia="Arial" w:hAnsi="Arial"/>
          <w:sz w:val="19"/>
          <w:szCs w:val="19"/>
          <w:color w:val="auto"/>
        </w:rPr>
        <w:t>” means the actual sale execution price of each Share placed by the Agent pursuant to this Agreement.</w:t>
      </w:r>
    </w:p>
    <w:p>
      <w:pPr>
        <w:spacing w:after="0" w:line="241"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62"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three percent (3%) of the gross proceeds of Shares sold pursuant to this Agreement, or as otherwise agreed between the Company and the Agent with respect to any Shares sold pursuant to this Agreement.</w:t>
      </w:r>
    </w:p>
    <w:p>
      <w:pPr>
        <w:spacing w:after="0" w:line="94" w:lineRule="exact"/>
        <w:rPr>
          <w:sz w:val="20"/>
          <w:szCs w:val="20"/>
          <w:color w:val="auto"/>
        </w:rPr>
      </w:pPr>
    </w:p>
    <w:p>
      <w:pPr>
        <w:jc w:val="both"/>
        <w:ind w:right="20" w:firstLine="83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the Company’s Common Shares issued or issuable pursuant to this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b w:val="1"/>
          <w:bCs w:val="1"/>
          <w:color w:val="auto"/>
        </w:rPr>
        <w:t>Section 2.REPRESENTATIONS AND WARRANTIES OF THE COMPANY</w:t>
      </w:r>
    </w:p>
    <w:p>
      <w:pPr>
        <w:spacing w:after="0" w:line="21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 represents and warrants to, and agrees with, the Agent that as of (1) the date of this Agreement, (2) each Issuance Notice Date, (3) each Settlement Date, (4) each Triggering Event Date (as defined below) and (5) as of each Time of Sale (as defined below) (each of the times referenced above is referred to herein as a “</w:t>
      </w:r>
      <w:r>
        <w:rPr>
          <w:rFonts w:ascii="Arial" w:cs="Arial" w:eastAsia="Arial" w:hAnsi="Arial"/>
          <w:sz w:val="22"/>
          <w:szCs w:val="22"/>
          <w:b w:val="1"/>
          <w:bCs w:val="1"/>
          <w:color w:val="auto"/>
        </w:rPr>
        <w:t>Representation Date</w:t>
      </w:r>
      <w:r>
        <w:rPr>
          <w:rFonts w:ascii="Arial" w:cs="Arial" w:eastAsia="Arial" w:hAnsi="Arial"/>
          <w:sz w:val="22"/>
          <w:szCs w:val="22"/>
          <w:color w:val="auto"/>
        </w:rPr>
        <w:t>”), except as may be disclosed in the Prospectus (including any documents incorporated by reference therein and any supplements thereto) on or before a Representation Date:</w:t>
      </w:r>
    </w:p>
    <w:p>
      <w:pPr>
        <w:spacing w:after="0" w:line="187" w:lineRule="exact"/>
        <w:rPr>
          <w:sz w:val="20"/>
          <w:szCs w:val="20"/>
          <w:color w:val="auto"/>
        </w:rPr>
      </w:pPr>
    </w:p>
    <w:p>
      <w:pPr>
        <w:jc w:val="both"/>
        <w:ind w:firstLine="757"/>
        <w:spacing w:after="0" w:line="270" w:lineRule="auto"/>
        <w:tabs>
          <w:tab w:leader="none" w:pos="155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Company has prepared and filed with the Commission a shelf registration statement on Form S-3 (File No. 333-261960), as amended from time to time, that contains a base prospectus (the “</w:t>
      </w:r>
      <w:r>
        <w:rPr>
          <w:rFonts w:ascii="Arial" w:cs="Arial" w:eastAsia="Arial" w:hAnsi="Arial"/>
          <w:sz w:val="19"/>
          <w:szCs w:val="19"/>
          <w:b w:val="1"/>
          <w:bCs w:val="1"/>
          <w:color w:val="auto"/>
        </w:rPr>
        <w:t>Base</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w:t>
      </w:r>
      <w:r>
        <w:rPr>
          <w:rFonts w:ascii="Arial" w:cs="Arial" w:eastAsia="Arial" w:hAnsi="Arial"/>
          <w:sz w:val="19"/>
          <w:szCs w:val="19"/>
          <w:color w:val="auto"/>
        </w:rPr>
        <w:t>”). Such registration statement registers the issuance and sale by the Company of the Shares under the Securities Act.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As used in this Agreement, the terms “amendment” or “supplement” when applied to the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or the Prospectus shall be deemed to include the filing by the Company with the Commission of any document under the Exchange Act after the date hereof that is or is deemed to be incorporated therein by reference.</w:t>
      </w:r>
    </w:p>
    <w:p>
      <w:pPr>
        <w:spacing w:after="0" w:line="16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2" w:name="page153"/>
    <w:bookmarkEnd w:id="152"/>
    <w:p>
      <w:pPr>
        <w:jc w:val="both"/>
        <w:spacing w:after="0" w:line="251" w:lineRule="auto"/>
        <w:rPr>
          <w:sz w:val="20"/>
          <w:szCs w:val="20"/>
          <w:color w:val="auto"/>
        </w:rPr>
      </w:pPr>
      <w:r>
        <w:rPr>
          <w:rFonts w:ascii="Arial" w:cs="Arial" w:eastAsia="Arial" w:hAnsi="Arial"/>
          <w:sz w:val="22"/>
          <w:szCs w:val="22"/>
          <w:color w:val="auto"/>
        </w:rPr>
        <w:t>copies of any report or statement shall be satisfied if the same is filed with the Commission through its Electronic Data Gathering, Analysis and Retrieval system (“</w:t>
      </w:r>
      <w:r>
        <w:rPr>
          <w:rFonts w:ascii="Arial" w:cs="Arial" w:eastAsia="Arial" w:hAnsi="Arial"/>
          <w:sz w:val="22"/>
          <w:szCs w:val="22"/>
          <w:b w:val="1"/>
          <w:bCs w:val="1"/>
          <w:color w:val="auto"/>
        </w:rPr>
        <w:t>EDGAR</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At the time the Original Registration Statement was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43" w:lineRule="exact"/>
        <w:rPr>
          <w:sz w:val="20"/>
          <w:szCs w:val="20"/>
          <w:color w:val="auto"/>
        </w:rPr>
      </w:pPr>
    </w:p>
    <w:p>
      <w:pPr>
        <w:jc w:val="both"/>
        <w:ind w:firstLine="757"/>
        <w:spacing w:after="0" w:line="248" w:lineRule="auto"/>
        <w:tabs>
          <w:tab w:leader="none" w:pos="155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Compliance with Registration Requirements</w:t>
      </w:r>
      <w:r>
        <w:rPr>
          <w:rFonts w:ascii="Arial" w:cs="Arial" w:eastAsia="Arial" w:hAnsi="Arial"/>
          <w:sz w:val="21"/>
          <w:szCs w:val="21"/>
          <w:color w:val="auto"/>
        </w:rPr>
        <w:t>. The Original Registration Statement and any Rule 462(b) Registration Statement have been declared effective by the Commission under the Securities Act prior to the date of their first use.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7" w:lineRule="exact"/>
        <w:rPr>
          <w:sz w:val="20"/>
          <w:szCs w:val="20"/>
          <w:color w:val="auto"/>
        </w:rPr>
      </w:pPr>
    </w:p>
    <w:p>
      <w:pPr>
        <w:jc w:val="both"/>
        <w:ind w:firstLine="432"/>
        <w:spacing w:after="0" w:line="244" w:lineRule="exact"/>
        <w:rPr>
          <w:sz w:val="20"/>
          <w:szCs w:val="20"/>
          <w:color w:val="auto"/>
        </w:rPr>
      </w:pPr>
      <w:r>
        <w:rPr>
          <w:rFonts w:ascii="Arial" w:cs="Arial" w:eastAsia="Arial" w:hAnsi="Arial"/>
          <w:sz w:val="19"/>
          <w:szCs w:val="19"/>
          <w:color w:val="auto"/>
        </w:rPr>
        <w:t>The Prospectus, when filed, complied in all material respects with the Securities Act and, if filed with the Commission through EDGAR (except as may be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right="40"/>
        <w:spacing w:after="0" w:line="271" w:lineRule="auto"/>
        <w:rPr>
          <w:sz w:val="20"/>
          <w:szCs w:val="20"/>
          <w:color w:val="auto"/>
        </w:rPr>
      </w:pPr>
      <w:r>
        <w:rPr>
          <w:rFonts w:ascii="Arial" w:cs="Arial" w:eastAsia="Arial" w:hAnsi="Arial"/>
          <w:sz w:val="19"/>
          <w:szCs w:val="19"/>
          <w:u w:val="single" w:color="auto"/>
          <w:color w:val="auto"/>
        </w:rPr>
        <w:t>Ineligible Issuer Status</w:t>
      </w:r>
      <w:r>
        <w:rPr>
          <w:rFonts w:ascii="Arial" w:cs="Arial" w:eastAsia="Arial" w:hAnsi="Arial"/>
          <w:sz w:val="19"/>
          <w:szCs w:val="19"/>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221" w:lineRule="exact"/>
        <w:rPr>
          <w:sz w:val="20"/>
          <w:szCs w:val="20"/>
          <w:color w:val="auto"/>
        </w:rPr>
      </w:pPr>
    </w:p>
    <w:p>
      <w:pPr>
        <w:jc w:val="both"/>
        <w:ind w:firstLine="757"/>
        <w:spacing w:after="0" w:line="277" w:lineRule="auto"/>
        <w:tabs>
          <w:tab w:leader="none" w:pos="155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Incorporated Documents</w:t>
      </w:r>
      <w:r>
        <w:rPr>
          <w:rFonts w:ascii="Arial" w:cs="Arial" w:eastAsia="Arial" w:hAnsi="Arial"/>
          <w:sz w:val="19"/>
          <w:szCs w:val="19"/>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2" w:lineRule="exact"/>
        <w:rPr>
          <w:rFonts w:ascii="Arial" w:cs="Arial" w:eastAsia="Arial" w:hAnsi="Arial"/>
          <w:sz w:val="19"/>
          <w:szCs w:val="19"/>
          <w:color w:val="auto"/>
        </w:rPr>
      </w:pPr>
    </w:p>
    <w:p>
      <w:pPr>
        <w:jc w:val="both"/>
        <w:ind w:firstLine="757"/>
        <w:spacing w:after="0" w:line="277" w:lineRule="auto"/>
        <w:tabs>
          <w:tab w:leader="none" w:pos="152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51" w:lineRule="exact"/>
        <w:rPr>
          <w:rFonts w:ascii="Arial" w:cs="Arial" w:eastAsia="Arial" w:hAnsi="Arial"/>
          <w:sz w:val="19"/>
          <w:szCs w:val="19"/>
          <w:color w:val="auto"/>
        </w:rPr>
      </w:pPr>
    </w:p>
    <w:p>
      <w:pPr>
        <w:jc w:val="both"/>
        <w:ind w:firstLine="757"/>
        <w:spacing w:after="0" w:line="251" w:lineRule="exact"/>
        <w:tabs>
          <w:tab w:leader="none" w:pos="153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Statistical and Market-Related Data</w:t>
      </w:r>
      <w:r>
        <w:rPr>
          <w:rFonts w:ascii="Arial" w:cs="Arial" w:eastAsia="Arial" w:hAnsi="Arial"/>
          <w:sz w:val="22"/>
          <w:szCs w:val="22"/>
          <w:color w:val="auto"/>
        </w:rPr>
        <w:t>. All statistical, demographic and market</w:t>
      </w:r>
      <w:r>
        <w:rPr>
          <w:rFonts w:ascii="MS PGothic" w:cs="MS PGothic" w:eastAsia="MS PGothic" w:hAnsi="MS PGothic"/>
          <w:sz w:val="22"/>
          <w:szCs w:val="22"/>
          <w:color w:val="auto"/>
        </w:rPr>
        <w:t>‑</w:t>
      </w:r>
      <w:r>
        <w:rPr>
          <w:rFonts w:ascii="Arial" w:cs="Arial" w:eastAsia="Arial" w:hAnsi="Arial"/>
          <w:sz w:val="22"/>
          <w:szCs w:val="22"/>
          <w:color w:val="auto"/>
        </w:rPr>
        <w: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84" w:lineRule="exact"/>
        <w:rPr>
          <w:rFonts w:ascii="Arial" w:cs="Arial" w:eastAsia="Arial" w:hAnsi="Arial"/>
          <w:sz w:val="22"/>
          <w:szCs w:val="22"/>
          <w:color w:val="auto"/>
        </w:rPr>
      </w:pPr>
    </w:p>
    <w:p>
      <w:pPr>
        <w:jc w:val="both"/>
        <w:ind w:firstLine="757"/>
        <w:spacing w:after="0" w:line="282" w:lineRule="auto"/>
        <w:tabs>
          <w:tab w:leader="none" w:pos="1511"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Disclosure Controls and Procedures; Deficiencies in or Changes to Internal Control Over Financial Reporting</w:t>
      </w:r>
      <w:r>
        <w:rPr>
          <w:rFonts w:ascii="Arial" w:cs="Arial" w:eastAsia="Arial" w:hAnsi="Arial"/>
          <w:sz w:val="19"/>
          <w:szCs w:val="19"/>
          <w:color w:val="auto"/>
        </w:rPr>
        <w:t>. Except as described in the Registration Statement or the Prospectus, the Company maintains disclosure controls and procedures (as such is defined in Rule 13a-15(e) of the Exchange Act) reasonably designed to comply with the requirements of the Exchange Act; such disclosure controls and procedures have been designed to ensure that information required to be disclosed by the Company in reports that it files or submits under the Exchange Act is recorded,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jc w:val="both"/>
        <w:spacing w:after="0" w:line="241" w:lineRule="auto"/>
        <w:rPr>
          <w:sz w:val="20"/>
          <w:szCs w:val="20"/>
          <w:color w:val="auto"/>
        </w:rPr>
      </w:pPr>
      <w:r>
        <w:rPr>
          <w:rFonts w:ascii="Arial" w:cs="Arial" w:eastAsia="Arial" w:hAnsi="Arial"/>
          <w:sz w:val="22"/>
          <w:szCs w:val="22"/>
          <w:color w:val="auto"/>
        </w:rPr>
        <w:t>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w:t>
      </w:r>
    </w:p>
    <w:p>
      <w:pPr>
        <w:spacing w:after="0" w:line="184" w:lineRule="exact"/>
        <w:rPr>
          <w:sz w:val="20"/>
          <w:szCs w:val="20"/>
          <w:color w:val="auto"/>
        </w:rPr>
      </w:pPr>
    </w:p>
    <w:p>
      <w:pPr>
        <w:ind w:left="1500" w:hanging="743"/>
        <w:spacing w:after="0"/>
        <w:tabs>
          <w:tab w:leader="none" w:pos="1500"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This Agreement</w:t>
      </w:r>
      <w:r>
        <w:rPr>
          <w:rFonts w:ascii="Arial" w:cs="Arial" w:eastAsia="Arial" w:hAnsi="Arial"/>
          <w:sz w:val="21"/>
          <w:szCs w:val="21"/>
          <w:color w:val="auto"/>
        </w:rPr>
        <w:t>. This Agreement has been duly authorized, executed and delivered by the Company.</w:t>
      </w:r>
    </w:p>
    <w:p>
      <w:pPr>
        <w:spacing w:after="0" w:line="217" w:lineRule="exact"/>
        <w:rPr>
          <w:rFonts w:ascii="Arial" w:cs="Arial" w:eastAsia="Arial" w:hAnsi="Arial"/>
          <w:sz w:val="21"/>
          <w:szCs w:val="21"/>
          <w:color w:val="auto"/>
        </w:rPr>
      </w:pPr>
    </w:p>
    <w:p>
      <w:pPr>
        <w:jc w:val="both"/>
        <w:ind w:firstLine="757"/>
        <w:spacing w:after="0" w:line="236" w:lineRule="auto"/>
        <w:tabs>
          <w:tab w:leader="none" w:pos="1538"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Authorization of the Shares</w:t>
      </w:r>
      <w:r>
        <w:rPr>
          <w:rFonts w:ascii="Arial" w:cs="Arial" w:eastAsia="Arial" w:hAnsi="Arial"/>
          <w:sz w:val="22"/>
          <w:szCs w:val="22"/>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 except as have been duly and validly waived in writing as of the date of this Agreement.</w:t>
      </w:r>
    </w:p>
    <w:p>
      <w:pPr>
        <w:spacing w:after="0" w:line="187" w:lineRule="exact"/>
        <w:rPr>
          <w:rFonts w:ascii="Arial" w:cs="Arial" w:eastAsia="Arial" w:hAnsi="Arial"/>
          <w:sz w:val="22"/>
          <w:szCs w:val="22"/>
          <w:color w:val="auto"/>
        </w:rPr>
      </w:pPr>
    </w:p>
    <w:p>
      <w:pPr>
        <w:jc w:val="both"/>
        <w:ind w:firstLine="757"/>
        <w:spacing w:after="0"/>
        <w:tabs>
          <w:tab w:leader="none" w:pos="1511"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 Applicable Registration or Other Similar Rights</w:t>
      </w:r>
      <w:r>
        <w:rPr>
          <w:rFonts w:ascii="Arial" w:cs="Arial" w:eastAsia="Arial" w:hAnsi="Arial"/>
          <w:sz w:val="22"/>
          <w:szCs w:val="22"/>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86" w:lineRule="exact"/>
        <w:rPr>
          <w:rFonts w:ascii="Arial" w:cs="Arial" w:eastAsia="Arial" w:hAnsi="Arial"/>
          <w:sz w:val="22"/>
          <w:szCs w:val="22"/>
          <w:color w:val="auto"/>
        </w:rPr>
      </w:pPr>
    </w:p>
    <w:p>
      <w:pPr>
        <w:jc w:val="both"/>
        <w:ind w:firstLine="757"/>
        <w:spacing w:after="0" w:line="271" w:lineRule="auto"/>
        <w:tabs>
          <w:tab w:leader="none" w:pos="149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business, properties, management, financial position, stockholders’ equity, results of operations or prospects of the Company, or</w:t>
      </w:r>
    </w:p>
    <w:p>
      <w:pPr>
        <w:spacing w:after="0" w:line="3" w:lineRule="exact"/>
        <w:rPr>
          <w:rFonts w:ascii="Arial" w:cs="Arial" w:eastAsia="Arial" w:hAnsi="Arial"/>
          <w:sz w:val="19"/>
          <w:szCs w:val="19"/>
          <w:color w:val="auto"/>
        </w:rPr>
      </w:pPr>
    </w:p>
    <w:p>
      <w:pPr>
        <w:jc w:val="both"/>
        <w:ind w:firstLine="8"/>
        <w:spacing w:after="0" w:line="272" w:lineRule="auto"/>
        <w:tabs>
          <w:tab w:leader="none" w:pos="3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ability of the Company to perform its obligations under this Agreement (any such change being referred to herein as a “</w:t>
      </w:r>
      <w:r>
        <w:rPr>
          <w:rFonts w:ascii="Arial" w:cs="Arial" w:eastAsia="Arial" w:hAnsi="Arial"/>
          <w:sz w:val="19"/>
          <w:szCs w:val="19"/>
          <w:b w:val="1"/>
          <w:bCs w:val="1"/>
          <w:color w:val="auto"/>
        </w:rPr>
        <w:t>Material Adverse Change</w:t>
      </w:r>
      <w:r>
        <w:rPr>
          <w:rFonts w:ascii="Arial" w:cs="Arial" w:eastAsia="Arial" w:hAnsi="Arial"/>
          <w:sz w:val="19"/>
          <w:szCs w:val="19"/>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has not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or any repurchase or redemption by the Company of any class of capital stock.</w:t>
      </w:r>
    </w:p>
    <w:p>
      <w:pPr>
        <w:spacing w:after="0" w:line="161" w:lineRule="exact"/>
        <w:rPr>
          <w:rFonts w:ascii="Arial" w:cs="Arial" w:eastAsia="Arial" w:hAnsi="Arial"/>
          <w:sz w:val="19"/>
          <w:szCs w:val="19"/>
          <w:color w:val="auto"/>
        </w:rPr>
      </w:pPr>
    </w:p>
    <w:p>
      <w:pPr>
        <w:jc w:val="both"/>
        <w:ind w:firstLine="757"/>
        <w:spacing w:after="0" w:line="277" w:lineRule="auto"/>
        <w:tabs>
          <w:tab w:leader="none" w:pos="1538"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Independent Accountants</w:t>
      </w:r>
      <w:r>
        <w:rPr>
          <w:rFonts w:ascii="Arial" w:cs="Arial" w:eastAsia="Arial" w:hAnsi="Arial"/>
          <w:sz w:val="19"/>
          <w:szCs w:val="19"/>
          <w:color w:val="auto"/>
        </w:rPr>
        <w:t>. BDO USA, LLP, which has expressed its opinion with respect to the financial statements (which term as used in this Agreement includes the related notes thereto) and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9"/>
          <w:szCs w:val="19"/>
          <w:b w:val="1"/>
          <w:bCs w:val="1"/>
          <w:color w:val="auto"/>
        </w:rPr>
        <w:t>PCAOB</w:t>
      </w:r>
      <w:r>
        <w:rPr>
          <w:rFonts w:ascii="Arial" w:cs="Arial" w:eastAsia="Arial" w:hAnsi="Arial"/>
          <w:sz w:val="19"/>
          <w:szCs w:val="19"/>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both"/>
        <w:ind w:firstLine="757"/>
        <w:spacing w:after="0" w:line="246" w:lineRule="exact"/>
        <w:tabs>
          <w:tab w:leader="none" w:pos="155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filed with the Commission as a part of the Registration Statement and the Prospectus present fairly the financial position of the Company as of the dates indicated and the results of its operations, changes in stockholders’ equity and cash flows for the periods specified. The supporting schedules included in the Registration Statement present fairly the information required to be stated therein. Such financial statements and supporting schedules have been prepared in conformity with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as applied in the United States applied on a consistent basis throughout the periods involved, except (i) in the case of any unaudited financial statements, which are subject to normal year-end adjustments and do not contain certain footnotes as permitted by the applicable rules of the Commission and (ii) as may be expressly stated in the related notes thereto. The financial statements, together with the related notes, included in the Registration Statement and the Prospectus comply in all material respects with Regulation S-X.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All disclosures contained in the Registration Statement and the Prospectus that constitute non</w:t>
      </w:r>
      <w:r>
        <w:rPr>
          <w:rFonts w:ascii="MS PGothic" w:cs="MS PGothic" w:eastAsia="MS PGothic" w:hAnsi="MS PGothic"/>
          <w:sz w:val="19"/>
          <w:szCs w:val="19"/>
          <w:color w:val="auto"/>
        </w:rPr>
        <w:t>‑</w:t>
      </w:r>
      <w:r>
        <w:rPr>
          <w:rFonts w:ascii="Arial" w:cs="Arial" w:eastAsia="Arial" w:hAnsi="Arial"/>
          <w:sz w:val="19"/>
          <w:szCs w:val="19"/>
          <w:color w:val="auto"/>
        </w:rPr>
        <w:t>GAAP financial measures (as defined by the rules and regulations under the Securities Act and the Exchange Act) comply in all material respects with Regulation G under the Exchange Act and Item 10 of Regulation S-K under the Securities Act, as applicable. To the Company’s Knowledge (as defined below), no person who has been suspended or barred from being associated with a registered public accounting firm, or who has failed to comply in all material respects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firstLine="757"/>
        <w:spacing w:after="0" w:line="272" w:lineRule="auto"/>
        <w:tabs>
          <w:tab w:leader="none" w:pos="156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Company’s Accounting System</w:t>
      </w:r>
      <w:r>
        <w:rPr>
          <w:rFonts w:ascii="Arial" w:cs="Arial" w:eastAsia="Arial" w:hAnsi="Arial"/>
          <w:sz w:val="19"/>
          <w:szCs w:val="19"/>
          <w:color w:val="auto"/>
        </w:rPr>
        <w:t>. The Company maintains a system of “internal control over financial reporting,” as such term is defined in Rule 13a-15(f) under the Exchange Act that is reasonably designed to comply with the requirements of the Exchange Act and has been designed by its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Registration Statement or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and adversely affected, or is reasonably likely to materially affect, the Company’s internal control over financial reporting.</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757"/>
        <w:spacing w:after="0" w:line="297" w:lineRule="auto"/>
        <w:tabs>
          <w:tab w:leader="none" w:pos="151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 of the Company</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both"/>
        <w:spacing w:after="0" w:line="298" w:lineRule="auto"/>
        <w:rPr>
          <w:sz w:val="20"/>
          <w:szCs w:val="20"/>
          <w:color w:val="auto"/>
        </w:rPr>
      </w:pPr>
      <w:r>
        <w:rPr>
          <w:rFonts w:ascii="Arial" w:cs="Arial" w:eastAsia="Arial" w:hAnsi="Arial"/>
          <w:sz w:val="19"/>
          <w:szCs w:val="19"/>
          <w:color w:val="auto"/>
        </w:rPr>
        <w:t>Prospectus and to enter into and perform its obligations under this Agreement. The Company is duly qualified as a foreign corporation to transact business and is in good standing in the State of Delaware and each other jurisdiction in which such qualification is required, whether by reason of the ownership or leasing of property or the conduct of business.</w:t>
      </w:r>
    </w:p>
    <w:p>
      <w:pPr>
        <w:spacing w:after="0" w:line="132" w:lineRule="exact"/>
        <w:rPr>
          <w:sz w:val="20"/>
          <w:szCs w:val="20"/>
          <w:color w:val="auto"/>
        </w:rPr>
      </w:pPr>
    </w:p>
    <w:p>
      <w:pPr>
        <w:ind w:left="1500" w:hanging="743"/>
        <w:spacing w:after="0"/>
        <w:tabs>
          <w:tab w:leader="none" w:pos="15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The Company has no subsidiaries.</w:t>
      </w:r>
    </w:p>
    <w:p>
      <w:pPr>
        <w:spacing w:after="0" w:line="206" w:lineRule="exact"/>
        <w:rPr>
          <w:rFonts w:ascii="Arial" w:cs="Arial" w:eastAsia="Arial" w:hAnsi="Arial"/>
          <w:sz w:val="22"/>
          <w:szCs w:val="22"/>
          <w:color w:val="auto"/>
        </w:rPr>
      </w:pPr>
    </w:p>
    <w:p>
      <w:pPr>
        <w:jc w:val="both"/>
        <w:ind w:firstLine="757"/>
        <w:spacing w:after="0" w:line="271" w:lineRule="auto"/>
        <w:tabs>
          <w:tab w:leader="none" w:pos="152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Capitalization and Other Capital Stock Matters</w:t>
      </w:r>
      <w:r>
        <w:rPr>
          <w:rFonts w:ascii="Arial" w:cs="Arial" w:eastAsia="Arial" w:hAnsi="Arial"/>
          <w:sz w:val="19"/>
          <w:szCs w:val="19"/>
          <w:color w:val="auto"/>
        </w:rPr>
        <w:t>. The authorized, issued and outstanding capital stock of the Company is as set forth in the Registration Statement and the Prospectus as of the dates stated therein (other than for subsequent issuances, if any, pursuant to employee benefit plans described in the Prospectus or upon the exercise of outstanding options,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except as have been validly waived.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757"/>
        <w:spacing w:after="0" w:line="235" w:lineRule="auto"/>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Stock Exchange Listing</w:t>
      </w:r>
      <w:r>
        <w:rPr>
          <w:rFonts w:ascii="Arial" w:cs="Arial" w:eastAsia="Arial" w:hAnsi="Arial"/>
          <w:sz w:val="22"/>
          <w:szCs w:val="22"/>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22"/>
          <w:szCs w:val="22"/>
          <w:color w:val="auto"/>
        </w:rPr>
      </w:pPr>
    </w:p>
    <w:p>
      <w:pPr>
        <w:jc w:val="both"/>
        <w:ind w:firstLine="757"/>
        <w:spacing w:after="0" w:line="273" w:lineRule="auto"/>
        <w:tabs>
          <w:tab w:leader="none" w:pos="152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Legal Proceedings</w:t>
      </w:r>
      <w:r>
        <w:rPr>
          <w:rFonts w:ascii="Arial" w:cs="Arial" w:eastAsia="Arial" w:hAnsi="Arial"/>
          <w:sz w:val="19"/>
          <w:szCs w:val="19"/>
          <w:color w:val="auto"/>
        </w:rPr>
        <w:t>. Except as set forth in the Registration Statement or the Prospectus, there is no legal or governmental proceeding to which the Company is a party or of which any property or assets of the Company is the subject, including any proceeding before the United States Food and Drug Administration of the U.S. Department of Health and Human Services (“</w:t>
      </w:r>
      <w:r>
        <w:rPr>
          <w:rFonts w:ascii="Arial" w:cs="Arial" w:eastAsia="Arial" w:hAnsi="Arial"/>
          <w:sz w:val="19"/>
          <w:szCs w:val="19"/>
          <w:b w:val="1"/>
          <w:bCs w:val="1"/>
          <w:color w:val="auto"/>
        </w:rPr>
        <w:t>FDA</w:t>
      </w:r>
      <w:r>
        <w:rPr>
          <w:rFonts w:ascii="Arial" w:cs="Arial" w:eastAsia="Arial" w:hAnsi="Arial"/>
          <w:sz w:val="19"/>
          <w:szCs w:val="19"/>
          <w:color w:val="auto"/>
        </w:rPr>
        <w:t>”) or comparable federal, state, local or foreign governmental bodies (it being understood that the routine interaction between the Company and the FDA and such comparable governmental bodies relating to the clinical development and product approval process shall not be deemed proceedings for purposes of this representation), which is required to be described in the Registration Statement or the Prospectus and is not described therein, or which, singularly or in the aggregate, if determined adversely to the Company, could reasonably be expected to result in a Material Adverse Change; and no such proceedings are threatened in writing or, to the Company’s knowledge after reasonable investigation and due diligence inquiry (“</w:t>
      </w:r>
      <w:r>
        <w:rPr>
          <w:rFonts w:ascii="Arial" w:cs="Arial" w:eastAsia="Arial" w:hAnsi="Arial"/>
          <w:sz w:val="19"/>
          <w:szCs w:val="19"/>
          <w:b w:val="1"/>
          <w:bCs w:val="1"/>
          <w:color w:val="auto"/>
        </w:rPr>
        <w:t>Knowledge</w:t>
      </w:r>
      <w:r>
        <w:rPr>
          <w:rFonts w:ascii="Arial" w:cs="Arial" w:eastAsia="Arial" w:hAnsi="Arial"/>
          <w:sz w:val="19"/>
          <w:szCs w:val="19"/>
          <w:color w:val="auto"/>
        </w:rPr>
        <w:t>”), contemplated by governmental or regulatory authorities or threatened by others. The Company is in compliance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jc w:val="both"/>
        <w:spacing w:after="0" w:line="245" w:lineRule="auto"/>
        <w:rPr>
          <w:sz w:val="20"/>
          <w:szCs w:val="20"/>
          <w:color w:val="auto"/>
        </w:rPr>
      </w:pPr>
      <w:r>
        <w:rPr>
          <w:rFonts w:ascii="Arial" w:cs="Arial" w:eastAsia="Arial" w:hAnsi="Arial"/>
          <w:sz w:val="21"/>
          <w:szCs w:val="21"/>
          <w:color w:val="auto"/>
        </w:rPr>
        <w:t>with all applicable federal, state, local and foreign laws, regulations, orders and decrees governing its business, including those of the FDA, or any other federal, state or foreign agencies or bodies engaged in the regulation of pharmaceuticals or biohazardous substances or materials, except where noncompliance would not, singly or in the aggregate, result in a Material Adverse Change. The Company is not a party to any corporate integrity agreements, monitoring agreements, consent decrees, settlement orders, or similar agreements with or imposed by any governmental or regulatory authority. Additionally, neither the Company nor any of its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85" w:lineRule="exact"/>
        <w:rPr>
          <w:sz w:val="20"/>
          <w:szCs w:val="20"/>
          <w:color w:val="auto"/>
        </w:rPr>
      </w:pPr>
    </w:p>
    <w:p>
      <w:pPr>
        <w:jc w:val="both"/>
        <w:ind w:firstLine="757"/>
        <w:spacing w:after="0" w:line="271" w:lineRule="auto"/>
        <w:tabs>
          <w:tab w:leader="none" w:pos="1498"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this Agreement by the Company, the issue and sale of the Shares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pursuant to, any indenture, mortgage, deed of trust, loan agreement or other agreement or instrument to which the Company is a party or by which the Company is bound or to which any of the property or assets of the Company is subject, (ii) result in any violation of the provisions of the charter or by-laws of the Company or (iii) result in the violation of any law, statute, rule, regulation, judgment, order or decree of any court or governmental or regulatory agency or body, domestic or foreign, having jurisdiction over the Company or any of its properties or assets except, in the case of clauses (i) and (iii) above, for any such conflict, breach, violation or default that would not, singularly or in the aggregate, result in a Material Adverse Change. A “</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64" w:lineRule="exact"/>
        <w:rPr>
          <w:rFonts w:ascii="Arial" w:cs="Arial" w:eastAsia="Arial" w:hAnsi="Arial"/>
          <w:sz w:val="19"/>
          <w:szCs w:val="19"/>
          <w:color w:val="auto"/>
        </w:rPr>
      </w:pPr>
    </w:p>
    <w:p>
      <w:pPr>
        <w:jc w:val="both"/>
        <w:ind w:firstLine="757"/>
        <w:spacing w:after="0" w:line="245" w:lineRule="auto"/>
        <w:tabs>
          <w:tab w:leader="none" w:pos="1511"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 Violation or Default</w:t>
      </w:r>
      <w:r>
        <w:rPr>
          <w:rFonts w:ascii="Arial" w:cs="Arial" w:eastAsia="Arial" w:hAnsi="Arial"/>
          <w:sz w:val="21"/>
          <w:szCs w:val="21"/>
          <w:color w:val="auto"/>
        </w:rPr>
        <w:t>. The Company is not (i) in violation of its charter or by-laws, (ii)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(iii) in violation in any respect of any law, ordinance, governmental rule, regulation or court order, decree or judgment to which it or its property or assets may be subject (including, without limitation, those administered by the FDA or by any foreign, federal, state or local governmental or regulatory authority performing functions similar to those performed by the FDA) except, in the case of clauses (ii) and (iii) above, for any such violation or default that would not, singularly or in the aggregate, result in a Material Adverse Change.</w:t>
      </w:r>
    </w:p>
    <w:p>
      <w:pPr>
        <w:spacing w:after="0" w:line="184" w:lineRule="exact"/>
        <w:rPr>
          <w:rFonts w:ascii="Arial" w:cs="Arial" w:eastAsia="Arial" w:hAnsi="Arial"/>
          <w:sz w:val="21"/>
          <w:szCs w:val="21"/>
          <w:color w:val="auto"/>
        </w:rPr>
      </w:pPr>
    </w:p>
    <w:p>
      <w:pPr>
        <w:jc w:val="both"/>
        <w:ind w:firstLine="757"/>
        <w:spacing w:after="0" w:line="238" w:lineRule="auto"/>
        <w:tabs>
          <w:tab w:leader="none" w:pos="149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Intellectual Property Rights</w:t>
      </w:r>
      <w:r>
        <w:rPr>
          <w:rFonts w:ascii="Arial" w:cs="Arial" w:eastAsia="Arial" w:hAnsi="Arial"/>
          <w:sz w:val="22"/>
          <w:szCs w:val="22"/>
          <w:color w:val="auto"/>
        </w:rPr>
        <w:t>. (i) The Company owns, possesses or has the legal right to all patents, trademarks, service marks, trade names, domain names and other source indicators, copyrights and copyrightable works, know-how (including trade secrets, data and other unpatented and/or unpatentable proprietary or confidential information, systems or procedures),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jc w:val="both"/>
        <w:spacing w:after="0" w:line="270" w:lineRule="auto"/>
        <w:rPr>
          <w:sz w:val="20"/>
          <w:szCs w:val="20"/>
          <w:color w:val="auto"/>
        </w:rPr>
      </w:pPr>
      <w:r>
        <w:rPr>
          <w:rFonts w:ascii="Arial" w:cs="Arial" w:eastAsia="Arial" w:hAnsi="Arial"/>
          <w:sz w:val="19"/>
          <w:szCs w:val="19"/>
          <w:color w:val="auto"/>
        </w:rPr>
        <w:t>software, proprietary or confidential information and all other worldwide intellectual property and proprietary rights (including all registrations, and applications for registration of, and all goodwill associated with, the foregoing) (collectively, “</w:t>
      </w:r>
      <w:r>
        <w:rPr>
          <w:rFonts w:ascii="Arial" w:cs="Arial" w:eastAsia="Arial" w:hAnsi="Arial"/>
          <w:sz w:val="19"/>
          <w:szCs w:val="19"/>
          <w:b w:val="1"/>
          <w:bCs w:val="1"/>
          <w:color w:val="auto"/>
        </w:rPr>
        <w:t>Intellectual</w:t>
      </w:r>
      <w:r>
        <w:rPr>
          <w:rFonts w:ascii="Arial" w:cs="Arial" w:eastAsia="Arial" w:hAnsi="Arial"/>
          <w:sz w:val="19"/>
          <w:szCs w:val="19"/>
          <w:color w:val="auto"/>
        </w:rPr>
        <w:t xml:space="preserve"> </w:t>
      </w:r>
      <w:r>
        <w:rPr>
          <w:rFonts w:ascii="Arial" w:cs="Arial" w:eastAsia="Arial" w:hAnsi="Arial"/>
          <w:sz w:val="19"/>
          <w:szCs w:val="19"/>
          <w:b w:val="1"/>
          <w:bCs w:val="1"/>
          <w:color w:val="auto"/>
        </w:rPr>
        <w:t>Property</w:t>
      </w:r>
      <w:r>
        <w:rPr>
          <w:rFonts w:ascii="Arial" w:cs="Arial" w:eastAsia="Arial" w:hAnsi="Arial"/>
          <w:sz w:val="19"/>
          <w:szCs w:val="19"/>
          <w:color w:val="auto"/>
        </w:rPr>
        <w:t>”) used in, or necessary for, the conduct of its business as currently conducted and as proposed to be conducted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and the Prospectus; (ii) to the Knowledge of the Company, the Company’s conduct of its businesses has not infringed, misappropriated or otherwise violated in any material respect, and does not infringe, misappropriate or otherwise violate in any material respect, any valid and enforceable Intellectual Property rights of any person; (iii) except as disclosed in the Registration Statement and Prospectus, there is no claim, action, suit, investigation or proceeding pending against, or, to the Knowledge of the Company, threatened against, the Company (A) based upon, or challenging or seeking to deny or restrict, any rights of the Company in any Intellectual Property owned by or exclusively licensed by the Company, (B) challenging the ownership, validity, enforceability or scope of any Intellectual Property owned or exclusively licensed by the Company, or (C) alleging that the Company has infringed, misappropriated or otherwise violated any Intellectual Property of any person in any material respect; (iv) to the Knowledge of the Company, the Intellectual Property owned or exclusively licensed by the Company has not been infringed, misappropriated or otherwise violated by any person; (v) none of the Intellectual Property owned or exclusively licensed by the Company has been adjudged invalid or unenforceable and, to the Knowledge of the Company, all Intellectual Property owned or exclusively licensed by the Company is valid and enforceable; and (vi) the Company has taken reasonable steps in accordance with normal industry practice to maintain the confidentiality of all Intellectual Property of the Company the value of which to the Company is contingent upon maintaining the confidentiality thereof, and, to the Knowledge of the Company, no such Intellectual Property has been disclosed other than to employees, representatives, and agents of the Company, all of whom are bound by written confidentiality agreements.</w:t>
      </w:r>
    </w:p>
    <w:p>
      <w:pPr>
        <w:spacing w:after="0" w:line="200" w:lineRule="exact"/>
        <w:rPr>
          <w:sz w:val="20"/>
          <w:szCs w:val="20"/>
          <w:color w:val="auto"/>
        </w:rPr>
      </w:pPr>
    </w:p>
    <w:p>
      <w:pPr>
        <w:spacing w:after="0" w:line="209" w:lineRule="exact"/>
        <w:rPr>
          <w:sz w:val="20"/>
          <w:szCs w:val="20"/>
          <w:color w:val="auto"/>
        </w:rPr>
      </w:pPr>
    </w:p>
    <w:p>
      <w:pPr>
        <w:jc w:val="both"/>
        <w:ind w:firstLine="757"/>
        <w:spacing w:after="0" w:line="272" w:lineRule="auto"/>
        <w:tabs>
          <w:tab w:leader="none" w:pos="1511"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Licenses or Permits</w:t>
      </w:r>
      <w:r>
        <w:rPr>
          <w:rFonts w:ascii="Arial" w:cs="Arial" w:eastAsia="Arial" w:hAnsi="Arial"/>
          <w:sz w:val="19"/>
          <w:szCs w:val="19"/>
          <w:color w:val="auto"/>
        </w:rPr>
        <w:t>. The Company possesses all licenses, certificates, authorizations, approvals, registrations, clearances, exemptions, and permits issued by, and has made all declarations and filings with, the appropriate local, state, federal or foreign governmental or regulatory agencies or bodies, including, without limitation, those administered or required by the FDA or by any foreign, federal, state or local governmental or regulatory authority performing functions similar to those performed by the FDA that are necessary for the ownership or lease of its properties or the conduct of its business as described in the Registration Statement or the Prospectus (collectively, the “</w:t>
      </w:r>
      <w:r>
        <w:rPr>
          <w:rFonts w:ascii="Arial" w:cs="Arial" w:eastAsia="Arial" w:hAnsi="Arial"/>
          <w:sz w:val="19"/>
          <w:szCs w:val="19"/>
          <w:b w:val="1"/>
          <w:bCs w:val="1"/>
          <w:color w:val="auto"/>
        </w:rPr>
        <w:t>Governmental Permits</w:t>
      </w:r>
      <w:r>
        <w:rPr>
          <w:rFonts w:ascii="Arial" w:cs="Arial" w:eastAsia="Arial" w:hAnsi="Arial"/>
          <w:sz w:val="19"/>
          <w:szCs w:val="19"/>
          <w:color w:val="auto"/>
        </w:rPr>
        <w:t>”) except where any failures to possess or make the same would not, singularly or in the aggregate, have a Material Adverse Change. The Company is in compliance with all such Governmental Permits, except where the failure to be in compliance would not, singularly or in the aggregate, have a Material Adverse Change; all such Governmental Permits are valid and in full force and effect, except where the validity or failure to be in full force and effect would not, singularly or in the aggregate, have a Material Adverse Change. The Company has not received written notification of any revocation, modification, suspension, termination or invalidation (or proceedings related thereto) of any such Governmental Permit and the Company has no reason to believe that any such Governmental Permit will not be renewed.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757"/>
        <w:spacing w:after="0"/>
        <w:tabs>
          <w:tab w:leader="none" w:pos="149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Title to Properties</w:t>
      </w:r>
      <w:r>
        <w:rPr>
          <w:rFonts w:ascii="Arial" w:cs="Arial" w:eastAsia="Arial" w:hAnsi="Arial"/>
          <w:sz w:val="22"/>
          <w:szCs w:val="22"/>
          <w:color w:val="auto"/>
        </w:rPr>
        <w:t xml:space="preserve">. Except as otherwise disclosed in the Prospectus, the Company has good and marketable title to all of the real and personal property and other assets reflected as owned in the financial statements referred to in </w:t>
      </w:r>
      <w:r>
        <w:rPr>
          <w:rFonts w:ascii="Arial" w:cs="Arial" w:eastAsia="Arial" w:hAnsi="Arial"/>
          <w:sz w:val="22"/>
          <w:szCs w:val="22"/>
          <w:u w:val="single" w:color="auto"/>
          <w:color w:val="auto"/>
        </w:rPr>
        <w:t>Section 2(m)</w:t>
      </w:r>
      <w:r>
        <w:rPr>
          <w:rFonts w:ascii="Arial" w:cs="Arial" w:eastAsia="Arial" w:hAnsi="Arial"/>
          <w:sz w:val="22"/>
          <w:szCs w:val="22"/>
          <w:color w:val="auto"/>
        </w:rPr>
        <w:t xml:space="preserve"> above (or elsewhere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spacing w:after="0" w:line="236" w:lineRule="auto"/>
        <w:rPr>
          <w:sz w:val="20"/>
          <w:szCs w:val="20"/>
          <w:color w:val="auto"/>
        </w:rPr>
      </w:pPr>
      <w:r>
        <w:rPr>
          <w:rFonts w:ascii="Arial" w:cs="Arial" w:eastAsia="Arial" w:hAnsi="Arial"/>
          <w:sz w:val="22"/>
          <w:szCs w:val="22"/>
          <w:color w:val="auto"/>
        </w:rPr>
        <w:t>Registration Statement or the Prospectus, in each case free and clear of any security interests, mortgages, liens, encumbrances, equities, adverse claims and other defects. The real property, improvements, equipment and personal property held under lease by the Company are held under valid and enforceable leases, with such exceptions as are not material and do not materially interfere with the use made or proposed to be made of such real property, improvements, equipment or personal property by the Company.</w:t>
      </w:r>
    </w:p>
    <w:p>
      <w:pPr>
        <w:spacing w:after="0" w:line="188" w:lineRule="exact"/>
        <w:rPr>
          <w:sz w:val="20"/>
          <w:szCs w:val="20"/>
          <w:color w:val="auto"/>
        </w:rPr>
      </w:pPr>
    </w:p>
    <w:p>
      <w:pPr>
        <w:jc w:val="both"/>
        <w:ind w:firstLine="757"/>
        <w:spacing w:after="0" w:line="279" w:lineRule="auto"/>
        <w:tabs>
          <w:tab w:leader="none" w:pos="149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Tax Law Compliance</w:t>
      </w:r>
      <w:r>
        <w:rPr>
          <w:rFonts w:ascii="Arial" w:cs="Arial" w:eastAsia="Arial" w:hAnsi="Arial"/>
          <w:sz w:val="19"/>
          <w:szCs w:val="19"/>
          <w:color w:val="auto"/>
        </w:rPr>
        <w:t xml:space="preserve">. The Company has filed all necessary federal, state and foreign income and franchise tax returns or has properly requested extensions thereof and has paid all taxes required to be paid by the Company and, if due and payable, any related or similar assessment, fine or penalty levied against the Company except as may be being contested in good faith and by appropriate proceedings. The Company has made adequate charges, accruals and reserves in the applicable financial statements referred to in </w:t>
      </w:r>
      <w:r>
        <w:rPr>
          <w:rFonts w:ascii="Arial" w:cs="Arial" w:eastAsia="Arial" w:hAnsi="Arial"/>
          <w:sz w:val="19"/>
          <w:szCs w:val="19"/>
          <w:u w:val="single" w:color="auto"/>
          <w:color w:val="auto"/>
        </w:rPr>
        <w:t>Section 2(m)</w:t>
      </w:r>
      <w:r>
        <w:rPr>
          <w:rFonts w:ascii="Arial" w:cs="Arial" w:eastAsia="Arial" w:hAnsi="Arial"/>
          <w:sz w:val="19"/>
          <w:szCs w:val="19"/>
          <w:color w:val="auto"/>
        </w:rPr>
        <w:t xml:space="preserve"> above in respect of all federal, state and foreign income and franchise taxes for all periods as to which the tax liability of the Company has not been finally determined.</w:t>
      </w:r>
    </w:p>
    <w:p>
      <w:pPr>
        <w:spacing w:after="0" w:line="150" w:lineRule="exact"/>
        <w:rPr>
          <w:rFonts w:ascii="Arial" w:cs="Arial" w:eastAsia="Arial" w:hAnsi="Arial"/>
          <w:sz w:val="19"/>
          <w:szCs w:val="19"/>
          <w:color w:val="auto"/>
        </w:rPr>
      </w:pPr>
    </w:p>
    <w:p>
      <w:pPr>
        <w:jc w:val="both"/>
        <w:ind w:firstLine="757"/>
        <w:spacing w:after="0" w:line="238" w:lineRule="auto"/>
        <w:tabs>
          <w:tab w:leader="none" w:pos="149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Company Not an “Investment Company.”</w:t>
      </w:r>
      <w:r>
        <w:rPr>
          <w:rFonts w:ascii="Arial" w:cs="Arial" w:eastAsia="Arial" w:hAnsi="Arial"/>
          <w:sz w:val="22"/>
          <w:szCs w:val="22"/>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22"/>
          <w:szCs w:val="22"/>
          <w:b w:val="1"/>
          <w:bCs w:val="1"/>
          <w:color w:val="auto"/>
        </w:rPr>
        <w:t>Investment Company Act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757"/>
        <w:spacing w:after="0" w:line="245" w:lineRule="auto"/>
        <w:tabs>
          <w:tab w:leader="none" w:pos="1498"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Except as otherwise disclosed in the Prospectus, the Company is insured by recognized, financially sound and reputable institutions with policies in such amounts and with such deductibles and covering such risks as are generally deemed adequate and customary for its business including, but not limited to, policies covering real and personal property owned or leased by the Company against theft, damage, destruction, acts of vandalism and earthquakes and policies covering the Company for product liability claims and clinical trial liability claims.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could not be expected to result in a Material Adverse Change. The Company has not been denied any insurance coverage which it has sought or for which it has applied.</w:t>
      </w:r>
    </w:p>
    <w:p>
      <w:pPr>
        <w:spacing w:after="0" w:line="184" w:lineRule="exact"/>
        <w:rPr>
          <w:sz w:val="20"/>
          <w:szCs w:val="20"/>
          <w:color w:val="auto"/>
        </w:rPr>
      </w:pPr>
    </w:p>
    <w:p>
      <w:pPr>
        <w:jc w:val="both"/>
        <w:ind w:firstLine="757"/>
        <w:spacing w:after="0" w:line="236" w:lineRule="auto"/>
        <w:tabs>
          <w:tab w:leader="none" w:pos="149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 Price Stabilization or Manipulation; Compliance with Regulation M</w:t>
      </w:r>
      <w:r>
        <w:rPr>
          <w:rFonts w:ascii="Arial" w:cs="Arial" w:eastAsia="Arial" w:hAnsi="Arial"/>
          <w:sz w:val="22"/>
          <w:szCs w:val="22"/>
          <w:color w:val="auto"/>
        </w:rPr>
        <w:t>. The Company has not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22"/>
          <w:szCs w:val="22"/>
          <w:b w:val="1"/>
          <w:bCs w:val="1"/>
          <w:color w:val="auto"/>
        </w:rPr>
        <w:t>“Regulation M”</w:t>
      </w:r>
      <w:r>
        <w:rPr>
          <w:rFonts w:ascii="Arial" w:cs="Arial" w:eastAsia="Arial" w:hAnsi="Arial"/>
          <w:sz w:val="22"/>
          <w:szCs w:val="22"/>
          <w:color w:val="auto"/>
        </w:rPr>
        <w:t>)) with respect to the Common Shares, whether to facilitate the sale or resale of the Shares or otherwise, and has taken no action which would directly or indirectly violate Regulation M.</w:t>
      </w:r>
    </w:p>
    <w:p>
      <w:pPr>
        <w:spacing w:after="0" w:line="187" w:lineRule="exact"/>
        <w:rPr>
          <w:rFonts w:ascii="Arial" w:cs="Arial" w:eastAsia="Arial" w:hAnsi="Arial"/>
          <w:sz w:val="22"/>
          <w:szCs w:val="22"/>
          <w:color w:val="auto"/>
        </w:rPr>
      </w:pPr>
    </w:p>
    <w:p>
      <w:pPr>
        <w:jc w:val="both"/>
        <w:ind w:firstLine="757"/>
        <w:spacing w:after="0"/>
        <w:tabs>
          <w:tab w:leader="none" w:pos="1525"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related-party transactions involving the Company or any other person required to be described in the Registration Statement or the Prospectus which have not been described as required.</w:t>
      </w:r>
    </w:p>
    <w:p>
      <w:pPr>
        <w:spacing w:after="0" w:line="186" w:lineRule="exact"/>
        <w:rPr>
          <w:rFonts w:ascii="Arial" w:cs="Arial" w:eastAsia="Arial" w:hAnsi="Arial"/>
          <w:sz w:val="22"/>
          <w:szCs w:val="22"/>
          <w:color w:val="auto"/>
        </w:rPr>
      </w:pPr>
    </w:p>
    <w:p>
      <w:pPr>
        <w:ind w:firstLine="757"/>
        <w:spacing w:after="0" w:line="250" w:lineRule="auto"/>
        <w:tabs>
          <w:tab w:leader="none" w:pos="149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FINRA Matters</w:t>
      </w:r>
      <w:r>
        <w:rPr>
          <w:rFonts w:ascii="Arial" w:cs="Arial" w:eastAsia="Arial" w:hAnsi="Arial"/>
          <w:sz w:val="22"/>
          <w:szCs w:val="22"/>
          <w:color w:val="auto"/>
        </w:rPr>
        <w:t>. All of the information provided to the Agent or to counsel for the Agent by the Company, its counsel, its officers and directors and the holders of any securities (debt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spacing w:after="0" w:line="287" w:lineRule="auto"/>
        <w:rPr>
          <w:sz w:val="20"/>
          <w:szCs w:val="20"/>
          <w:color w:val="auto"/>
        </w:rPr>
      </w:pPr>
      <w:r>
        <w:rPr>
          <w:rFonts w:ascii="Arial" w:cs="Arial" w:eastAsia="Arial" w:hAnsi="Arial"/>
          <w:sz w:val="19"/>
          <w:szCs w:val="19"/>
          <w:color w:val="auto"/>
        </w:rPr>
        <w:t>or equity) or options to acquire any securities of the Company in connection with the offering of the Shares is true, complete, correct and compliant with Financial Industry Regulatory Authority, Inc.’s (“</w:t>
      </w:r>
      <w:r>
        <w:rPr>
          <w:rFonts w:ascii="Arial" w:cs="Arial" w:eastAsia="Arial" w:hAnsi="Arial"/>
          <w:sz w:val="19"/>
          <w:szCs w:val="19"/>
          <w:b w:val="1"/>
          <w:bCs w:val="1"/>
          <w:color w:val="auto"/>
        </w:rPr>
        <w:t>FINRA</w:t>
      </w:r>
      <w:r>
        <w:rPr>
          <w:rFonts w:ascii="Arial" w:cs="Arial" w:eastAsia="Arial" w:hAnsi="Arial"/>
          <w:sz w:val="19"/>
          <w:szCs w:val="19"/>
          <w:color w:val="auto"/>
        </w:rPr>
        <w:t>”) rules and any letters, filings or other supplemental information provided to FINRA pursuant to FINRA Rules or NASD Conduct Rules is true, complete and correct. The Company meets the requirements for use of Form S-3 under the Securities Act specified in FINRA Rule 5110(h)(1)(C).</w:t>
      </w:r>
    </w:p>
    <w:p>
      <w:pPr>
        <w:spacing w:after="0" w:line="144" w:lineRule="exact"/>
        <w:rPr>
          <w:sz w:val="20"/>
          <w:szCs w:val="20"/>
          <w:color w:val="auto"/>
        </w:rPr>
      </w:pPr>
    </w:p>
    <w:p>
      <w:pPr>
        <w:jc w:val="both"/>
        <w:ind w:firstLine="757"/>
        <w:spacing w:after="0" w:line="246" w:lineRule="auto"/>
        <w:tabs>
          <w:tab w:leader="none" w:pos="1511"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 Unlawful Contributions or Other Payments</w:t>
      </w:r>
      <w:r>
        <w:rPr>
          <w:rFonts w:ascii="Arial" w:cs="Arial" w:eastAsia="Arial" w:hAnsi="Arial"/>
          <w:sz w:val="21"/>
          <w:szCs w:val="21"/>
          <w:color w:val="auto"/>
        </w:rPr>
        <w:t>. Neither the Company nor, to the Company’s Knowledge, any director, officer, employee, agent, affiliate or other person while acting on behalf of the Company, have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the U.S. Foreign Corrupt Practices Act of 1977, as amended, or any applicable anti-corruption laws, rules, or regulations of any other jurisdiction in which the Company conducts business, or (iv) made any other unlawful bribe, rebate, payoff, influence payment, kickback, or other unlawful payment to any person.</w:t>
      </w:r>
    </w:p>
    <w:p>
      <w:pPr>
        <w:spacing w:after="0" w:line="179" w:lineRule="exact"/>
        <w:rPr>
          <w:rFonts w:ascii="Arial" w:cs="Arial" w:eastAsia="Arial" w:hAnsi="Arial"/>
          <w:sz w:val="21"/>
          <w:szCs w:val="21"/>
          <w:color w:val="auto"/>
        </w:rPr>
      </w:pPr>
    </w:p>
    <w:p>
      <w:pPr>
        <w:jc w:val="both"/>
        <w:ind w:firstLine="757"/>
        <w:spacing w:after="0" w:line="272" w:lineRule="auto"/>
        <w:tabs>
          <w:tab w:leader="none" w:pos="149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Compliance with Environmental Laws and Hazardous Materials</w:t>
      </w:r>
      <w:r>
        <w:rPr>
          <w:rFonts w:ascii="Arial" w:cs="Arial" w:eastAsia="Arial" w:hAnsi="Arial"/>
          <w:sz w:val="19"/>
          <w:szCs w:val="19"/>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that could reasonably be expected to result in a Material Adverse Change; and there has been no disposal, discharge, emission or other release of any kind onto such property or into the environment surrounding such property of any toxic or other wastes or other hazardous substances with respect to which the Company has Knowledge.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500" w:hanging="743"/>
        <w:spacing w:after="0"/>
        <w:tabs>
          <w:tab w:leader="none" w:pos="15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57"/>
        <w:spacing w:after="0" w:line="245" w:lineRule="auto"/>
        <w:tabs>
          <w:tab w:leader="none" w:pos="153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ERISA Compliance</w:t>
      </w:r>
      <w:r>
        <w:rPr>
          <w:rFonts w:ascii="Arial" w:cs="Arial" w:eastAsia="Arial" w:hAnsi="Arial"/>
          <w:sz w:val="21"/>
          <w:szCs w:val="21"/>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1"/>
          <w:szCs w:val="21"/>
          <w:b w:val="1"/>
          <w:bCs w:val="1"/>
          <w:color w:val="auto"/>
        </w:rPr>
        <w:t>ERISA</w:t>
      </w:r>
      <w:r>
        <w:rPr>
          <w:rFonts w:ascii="Arial" w:cs="Arial" w:eastAsia="Arial" w:hAnsi="Arial"/>
          <w:sz w:val="21"/>
          <w:szCs w:val="21"/>
          <w:color w:val="auto"/>
        </w:rPr>
        <w:t>”), or Section 4975 of the Internal Revenue Code of 1986, as amended from time to time (the “</w:t>
      </w:r>
      <w:r>
        <w:rPr>
          <w:rFonts w:ascii="Arial" w:cs="Arial" w:eastAsia="Arial" w:hAnsi="Arial"/>
          <w:sz w:val="21"/>
          <w:szCs w:val="21"/>
          <w:b w:val="1"/>
          <w:bCs w:val="1"/>
          <w:color w:val="auto"/>
        </w:rPr>
        <w:t>Code</w:t>
      </w:r>
      <w:r>
        <w:rPr>
          <w:rFonts w:ascii="Arial" w:cs="Arial" w:eastAsia="Arial" w:hAnsi="Arial"/>
          <w:sz w:val="21"/>
          <w:szCs w:val="21"/>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could, singularly or in the aggregate, have a Material Adverse Change. Each employee benefit plan of the Company is in compliance in all material respects with its terms and applicable law, including ERISA and the Code. The Company has not incurred and could not reasonably be expected to incur material liability under Title IV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both"/>
        <w:spacing w:after="0" w:line="238" w:lineRule="auto"/>
        <w:rPr>
          <w:sz w:val="20"/>
          <w:szCs w:val="20"/>
          <w:color w:val="auto"/>
        </w:rPr>
      </w:pPr>
      <w:r>
        <w:rPr>
          <w:rFonts w:ascii="Arial" w:cs="Arial" w:eastAsia="Arial" w:hAnsi="Arial"/>
          <w:sz w:val="22"/>
          <w:szCs w:val="22"/>
          <w:color w:val="auto"/>
        </w:rPr>
        <w:t>ERISA or with respect to any “multiemployer plan” as defined in Section 3(37) of ERISA. Each pension plan for which the Company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185" w:lineRule="exact"/>
        <w:rPr>
          <w:sz w:val="20"/>
          <w:szCs w:val="20"/>
          <w:color w:val="auto"/>
        </w:rPr>
      </w:pPr>
    </w:p>
    <w:p>
      <w:pPr>
        <w:jc w:val="both"/>
        <w:ind w:right="20" w:firstLine="757"/>
        <w:spacing w:after="0"/>
        <w:tabs>
          <w:tab w:leader="none" w:pos="149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86" w:lineRule="exact"/>
        <w:rPr>
          <w:rFonts w:ascii="Arial" w:cs="Arial" w:eastAsia="Arial" w:hAnsi="Arial"/>
          <w:sz w:val="22"/>
          <w:szCs w:val="22"/>
          <w:color w:val="auto"/>
        </w:rPr>
      </w:pPr>
    </w:p>
    <w:p>
      <w:pPr>
        <w:jc w:val="both"/>
        <w:ind w:firstLine="757"/>
        <w:spacing w:after="0"/>
        <w:tabs>
          <w:tab w:leader="none" w:pos="149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 Outstanding Loans or Other Extensions of Credit</w:t>
      </w:r>
      <w:r>
        <w:rPr>
          <w:rFonts w:ascii="Arial" w:cs="Arial" w:eastAsia="Arial" w:hAnsi="Arial"/>
          <w:sz w:val="22"/>
          <w:szCs w:val="22"/>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86" w:lineRule="exact"/>
        <w:rPr>
          <w:rFonts w:ascii="Arial" w:cs="Arial" w:eastAsia="Arial" w:hAnsi="Arial"/>
          <w:sz w:val="22"/>
          <w:szCs w:val="22"/>
          <w:color w:val="auto"/>
        </w:rPr>
      </w:pPr>
    </w:p>
    <w:p>
      <w:pPr>
        <w:jc w:val="both"/>
        <w:ind w:firstLine="757"/>
        <w:spacing w:after="0"/>
        <w:tabs>
          <w:tab w:leader="none" w:pos="152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has been and is in compliance with all applicable laws, rules and regulations, except where failure to be so in compliance could not be expected, individually or in the aggregate, to result in a Material Adverse Change.</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Anti-Corruption and Anti-Bribery Laws</w:t>
      </w:r>
      <w:r>
        <w:rPr>
          <w:rFonts w:ascii="Arial" w:cs="Arial" w:eastAsia="Arial" w:hAnsi="Arial"/>
          <w:sz w:val="21"/>
          <w:szCs w:val="21"/>
          <w:color w:val="auto"/>
        </w:rPr>
        <w:t>. Neither the Company nor, to the Company’s Knowledge, any director, officer, employee, agent, affiliate or other person while acting on behalf of the Company,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the U.S. Foreign Corrupt Practices Act of 1977, as amended, or any applicable anti-corruption laws, rules, or regulations of any other jurisdiction in which the Company conducts business, or (iv) made any other unlawful bribe, rebate, payoff, influence payment, kickback, or other unlawful payment to any person.</w:t>
      </w:r>
    </w:p>
    <w:p>
      <w:pPr>
        <w:spacing w:after="0" w:line="179" w:lineRule="exact"/>
        <w:rPr>
          <w:rFonts w:ascii="Arial" w:cs="Arial" w:eastAsia="Arial" w:hAnsi="Arial"/>
          <w:sz w:val="21"/>
          <w:szCs w:val="21"/>
          <w:color w:val="auto"/>
        </w:rPr>
      </w:pPr>
    </w:p>
    <w:p>
      <w:pPr>
        <w:jc w:val="both"/>
        <w:ind w:firstLine="757"/>
        <w:spacing w:after="0" w:line="275" w:lineRule="auto"/>
        <w:tabs>
          <w:tab w:leader="none" w:pos="153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Money Laundering Laws</w:t>
      </w:r>
      <w:r>
        <w:rPr>
          <w:rFonts w:ascii="Arial" w:cs="Arial" w:eastAsia="Arial" w:hAnsi="Arial"/>
          <w:sz w:val="19"/>
          <w:szCs w:val="19"/>
          <w:color w:val="auto"/>
        </w:rPr>
        <w:t>. The operations of the Company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applicable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pacing w:after="0" w:line="157" w:lineRule="exact"/>
        <w:rPr>
          <w:rFonts w:ascii="Arial" w:cs="Arial" w:eastAsia="Arial" w:hAnsi="Arial"/>
          <w:sz w:val="19"/>
          <w:szCs w:val="19"/>
          <w:color w:val="auto"/>
        </w:rPr>
      </w:pPr>
    </w:p>
    <w:p>
      <w:pPr>
        <w:ind w:left="1500" w:hanging="743"/>
        <w:spacing w:after="0"/>
        <w:tabs>
          <w:tab w:leader="none" w:pos="15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Compliance with OFAC.</w:t>
      </w:r>
    </w:p>
    <w:p>
      <w:pPr>
        <w:spacing w:after="0" w:line="206" w:lineRule="exact"/>
        <w:rPr>
          <w:sz w:val="20"/>
          <w:szCs w:val="20"/>
          <w:color w:val="auto"/>
        </w:rPr>
      </w:pPr>
    </w:p>
    <w:p>
      <w:pPr>
        <w:ind w:left="760" w:firstLine="745"/>
        <w:spacing w:after="0" w:line="250" w:lineRule="auto"/>
        <w:tabs>
          <w:tab w:leader="none" w:pos="2271" w:val="left"/>
        </w:tabs>
        <w:numPr>
          <w:ilvl w:val="0"/>
          <w:numId w:val="77"/>
        </w:numPr>
        <w:rPr>
          <w:rFonts w:ascii="Arial" w:cs="Arial" w:eastAsia="Arial" w:hAnsi="Arial"/>
          <w:sz w:val="22"/>
          <w:szCs w:val="22"/>
          <w:color w:val="auto"/>
        </w:rPr>
      </w:pPr>
      <w:r>
        <w:rPr>
          <w:rFonts w:ascii="Arial" w:cs="Arial" w:eastAsia="Arial" w:hAnsi="Arial"/>
          <w:sz w:val="22"/>
          <w:szCs w:val="22"/>
          <w:color w:val="auto"/>
        </w:rPr>
        <w:t>Neither the Company nor its directors, officers or employees, nor, to the Company’s Knowledge, any agent, affiliate, representative or other person acting on behalf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left="760"/>
        <w:spacing w:after="0" w:line="235" w:lineRule="auto"/>
        <w:rPr>
          <w:sz w:val="20"/>
          <w:szCs w:val="20"/>
          <w:color w:val="auto"/>
        </w:rPr>
      </w:pPr>
      <w:r>
        <w:rPr>
          <w:rFonts w:ascii="Arial" w:cs="Arial" w:eastAsia="Arial" w:hAnsi="Arial"/>
          <w:sz w:val="22"/>
          <w:szCs w:val="22"/>
          <w:color w:val="auto"/>
        </w:rPr>
        <w:t>of the Company, is an individual or entity (“</w:t>
      </w:r>
      <w:r>
        <w:rPr>
          <w:rFonts w:ascii="Arial" w:cs="Arial" w:eastAsia="Arial" w:hAnsi="Arial"/>
          <w:sz w:val="22"/>
          <w:szCs w:val="22"/>
          <w:b w:val="1"/>
          <w:bCs w:val="1"/>
          <w:color w:val="auto"/>
        </w:rPr>
        <w:t>Person</w:t>
      </w:r>
      <w:r>
        <w:rPr>
          <w:rFonts w:ascii="Arial" w:cs="Arial" w:eastAsia="Arial" w:hAnsi="Arial"/>
          <w:sz w:val="22"/>
          <w:szCs w:val="22"/>
          <w:color w:val="auto"/>
        </w:rPr>
        <w:t>”) that is, or is 50% or more owned or otherwise controlled by a Person that is: (i) the subject of any sanctions administered or enforced by the U.S. Department of Treasury’s Office of Foreign Assets Control (“</w:t>
      </w:r>
      <w:r>
        <w:rPr>
          <w:rFonts w:ascii="Arial" w:cs="Arial" w:eastAsia="Arial" w:hAnsi="Arial"/>
          <w:sz w:val="22"/>
          <w:szCs w:val="22"/>
          <w:b w:val="1"/>
          <w:bCs w:val="1"/>
          <w:color w:val="auto"/>
        </w:rPr>
        <w:t>OFAC</w:t>
      </w:r>
      <w:r>
        <w:rPr>
          <w:rFonts w:ascii="Arial" w:cs="Arial" w:eastAsia="Arial" w:hAnsi="Arial"/>
          <w:sz w:val="22"/>
          <w:szCs w:val="22"/>
          <w:color w:val="auto"/>
        </w:rPr>
        <w:t>”), the United Nations Security Council (“</w:t>
      </w:r>
      <w:r>
        <w:rPr>
          <w:rFonts w:ascii="Arial" w:cs="Arial" w:eastAsia="Arial" w:hAnsi="Arial"/>
          <w:sz w:val="22"/>
          <w:szCs w:val="22"/>
          <w:b w:val="1"/>
          <w:bCs w:val="1"/>
          <w:color w:val="auto"/>
        </w:rPr>
        <w:t>UNSC</w:t>
      </w:r>
      <w:r>
        <w:rPr>
          <w:rFonts w:ascii="Arial" w:cs="Arial" w:eastAsia="Arial" w:hAnsi="Arial"/>
          <w:sz w:val="22"/>
          <w:szCs w:val="22"/>
          <w:color w:val="auto"/>
        </w:rPr>
        <w:t xml:space="preserve"> ”), the European Union (“</w:t>
      </w:r>
      <w:r>
        <w:rPr>
          <w:rFonts w:ascii="Arial" w:cs="Arial" w:eastAsia="Arial" w:hAnsi="Arial"/>
          <w:sz w:val="22"/>
          <w:szCs w:val="22"/>
          <w:b w:val="1"/>
          <w:bCs w:val="1"/>
          <w:color w:val="auto"/>
        </w:rPr>
        <w:t>EU</w:t>
      </w:r>
      <w:r>
        <w:rPr>
          <w:rFonts w:ascii="Arial" w:cs="Arial" w:eastAsia="Arial" w:hAnsi="Arial"/>
          <w:sz w:val="22"/>
          <w:szCs w:val="22"/>
          <w:color w:val="auto"/>
        </w:rPr>
        <w:t>”), Her Majesty’s Treasury (“</w:t>
      </w:r>
      <w:r>
        <w:rPr>
          <w:rFonts w:ascii="Arial" w:cs="Arial" w:eastAsia="Arial" w:hAnsi="Arial"/>
          <w:sz w:val="22"/>
          <w:szCs w:val="22"/>
          <w:b w:val="1"/>
          <w:bCs w:val="1"/>
          <w:color w:val="auto"/>
        </w:rPr>
        <w:t>HMT</w:t>
      </w:r>
      <w:r>
        <w:rPr>
          <w:rFonts w:ascii="Arial" w:cs="Arial" w:eastAsia="Arial" w:hAnsi="Arial"/>
          <w:sz w:val="22"/>
          <w:szCs w:val="22"/>
          <w:color w:val="auto"/>
        </w:rPr>
        <w:t>”), the Swiss Secretariat of Economic Affairs or other relevant sanctions authority or other relevant sanctions authority (collectively, “</w:t>
      </w:r>
      <w:r>
        <w:rPr>
          <w:rFonts w:ascii="Arial" w:cs="Arial" w:eastAsia="Arial" w:hAnsi="Arial"/>
          <w:sz w:val="22"/>
          <w:szCs w:val="22"/>
          <w:b w:val="1"/>
          <w:bCs w:val="1"/>
          <w:color w:val="auto"/>
        </w:rPr>
        <w:t>Sanctions</w:t>
      </w:r>
      <w:r>
        <w:rPr>
          <w:rFonts w:ascii="Arial" w:cs="Arial" w:eastAsia="Arial" w:hAnsi="Arial"/>
          <w:sz w:val="22"/>
          <w:szCs w:val="22"/>
          <w:color w:val="auto"/>
        </w:rPr>
        <w:t>”), nor (ii) located, organized or resident in a country or territory that is the subject of a U.S. government embargo (including, without limitation, Cuba, Iran, North Korea, Syria and the Crimea).</w:t>
      </w:r>
    </w:p>
    <w:p>
      <w:pPr>
        <w:spacing w:after="0" w:line="190" w:lineRule="exact"/>
        <w:rPr>
          <w:sz w:val="20"/>
          <w:szCs w:val="20"/>
          <w:color w:val="auto"/>
        </w:rPr>
      </w:pPr>
    </w:p>
    <w:p>
      <w:pPr>
        <w:jc w:val="both"/>
        <w:ind w:left="760" w:firstLine="745"/>
        <w:spacing w:after="0" w:line="248" w:lineRule="auto"/>
        <w:tabs>
          <w:tab w:leader="none" w:pos="2271"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any Person participating in the offering, whether as underwriter, advisor, investor or otherwise).</w:t>
      </w:r>
    </w:p>
    <w:p>
      <w:pPr>
        <w:spacing w:after="0" w:line="176" w:lineRule="exact"/>
        <w:rPr>
          <w:rFonts w:ascii="Arial" w:cs="Arial" w:eastAsia="Arial" w:hAnsi="Arial"/>
          <w:sz w:val="21"/>
          <w:szCs w:val="21"/>
          <w:color w:val="auto"/>
        </w:rPr>
      </w:pPr>
    </w:p>
    <w:p>
      <w:pPr>
        <w:jc w:val="both"/>
        <w:ind w:left="760" w:firstLine="745"/>
        <w:spacing w:after="0" w:line="238" w:lineRule="auto"/>
        <w:tabs>
          <w:tab w:leader="none" w:pos="2284" w:val="left"/>
        </w:tabs>
        <w:numPr>
          <w:ilvl w:val="1"/>
          <w:numId w:val="78"/>
        </w:numPr>
        <w:rPr>
          <w:rFonts w:ascii="Arial" w:cs="Arial" w:eastAsia="Arial" w:hAnsi="Arial"/>
          <w:sz w:val="22"/>
          <w:szCs w:val="22"/>
          <w:color w:val="auto"/>
        </w:rPr>
      </w:pPr>
      <w:r>
        <w:rPr>
          <w:rFonts w:ascii="Arial" w:cs="Arial" w:eastAsia="Arial" w:hAnsi="Arial"/>
          <w:sz w:val="22"/>
          <w:szCs w:val="22"/>
          <w:color w:val="auto"/>
        </w:rPr>
        <w:t>For the past five (5) years, the Company has not knowingly engaged in, and is not now knowingly engaged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184" w:lineRule="exact"/>
        <w:rPr>
          <w:rFonts w:ascii="Arial" w:cs="Arial" w:eastAsia="Arial" w:hAnsi="Arial"/>
          <w:sz w:val="22"/>
          <w:szCs w:val="22"/>
          <w:color w:val="auto"/>
        </w:rPr>
      </w:pPr>
    </w:p>
    <w:p>
      <w:pPr>
        <w:ind w:right="20" w:firstLine="757"/>
        <w:spacing w:after="0" w:line="250" w:lineRule="auto"/>
        <w:tabs>
          <w:tab w:leader="none" w:pos="149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Sarbanes-Oxley</w:t>
      </w:r>
      <w:r>
        <w:rPr>
          <w:rFonts w:ascii="Arial" w:cs="Arial" w:eastAsia="Arial" w:hAnsi="Arial"/>
          <w:sz w:val="22"/>
          <w:szCs w:val="22"/>
          <w:color w:val="auto"/>
        </w:rPr>
        <w:t>. The Company is in compliance, in all material respects, with all applicable provisions of the Sarbanes-Oxley Act of 2002 and the rules and regulations promulgated thereunder.</w:t>
      </w:r>
    </w:p>
    <w:p>
      <w:pPr>
        <w:spacing w:after="0" w:line="174"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Duties, Transfer Taxes, Etc</w:t>
      </w:r>
      <w:r>
        <w:rPr>
          <w:rFonts w:ascii="Arial" w:cs="Arial" w:eastAsia="Arial" w:hAnsi="Arial"/>
          <w:sz w:val="22"/>
          <w:szCs w:val="22"/>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4" w:lineRule="exact"/>
        <w:rPr>
          <w:rFonts w:ascii="Arial" w:cs="Arial" w:eastAsia="Arial" w:hAnsi="Arial"/>
          <w:sz w:val="22"/>
          <w:szCs w:val="22"/>
          <w:color w:val="auto"/>
        </w:rPr>
      </w:pPr>
    </w:p>
    <w:p>
      <w:pPr>
        <w:jc w:val="both"/>
        <w:ind w:firstLine="757"/>
        <w:spacing w:after="0" w:line="274" w:lineRule="auto"/>
        <w:tabs>
          <w:tab w:leader="none" w:pos="152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Cybersecurity</w:t>
      </w:r>
      <w:r>
        <w:rPr>
          <w:rFonts w:ascii="Arial" w:cs="Arial" w:eastAsia="Arial" w:hAnsi="Arial"/>
          <w:sz w:val="19"/>
          <w:szCs w:val="19"/>
          <w:color w:val="auto"/>
        </w:rPr>
        <w:t>. The Company’s information technology assets and equipment, computers, systems, networks, hardware, software, websites, applications, and databases (collectively, “</w:t>
      </w:r>
      <w:r>
        <w:rPr>
          <w:rFonts w:ascii="Arial" w:cs="Arial" w:eastAsia="Arial" w:hAnsi="Arial"/>
          <w:sz w:val="19"/>
          <w:szCs w:val="19"/>
          <w:b w:val="1"/>
          <w:bCs w:val="1"/>
          <w:color w:val="auto"/>
        </w:rPr>
        <w:t>IT Systems</w:t>
      </w:r>
      <w:r>
        <w:rPr>
          <w:rFonts w:ascii="Arial" w:cs="Arial" w:eastAsia="Arial" w:hAnsi="Arial"/>
          <w:sz w:val="19"/>
          <w:szCs w:val="19"/>
          <w:color w:val="auto"/>
        </w:rPr>
        <w:t>”) are (i) adequate for, and operate and perform in all material respects as required in connection with the operation of the business of the Company as currently conducted, and (ii) to the Company’s Knowledge, free and clear of all material bugs, errors, defects, Trojan horses, time bombs, malware and other corruptants. The Company has implemented and maintained commercially reasonable controls, policies, procedures, and safeguards reasonably designed to maintain and protect its material confidential information and the integrity, continuous operation, redundancy and security of all IT Systems and data (including the data of its customers, employees, suppliers, vendors and any third party data maintained by or on behalf of them)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To the Company’s Knowledge, there has been no security breach or attack or other compromise of or relating to any of the Company’s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3" w:name="page164"/>
    <w:bookmarkEnd w:id="163"/>
    <w:p>
      <w:pPr>
        <w:jc w:val="both"/>
        <w:spacing w:after="0" w:line="234" w:lineRule="auto"/>
        <w:rPr>
          <w:sz w:val="20"/>
          <w:szCs w:val="20"/>
          <w:color w:val="auto"/>
        </w:rPr>
      </w:pPr>
      <w:r>
        <w:rPr>
          <w:rFonts w:ascii="Arial" w:cs="Arial" w:eastAsia="Arial" w:hAnsi="Arial"/>
          <w:sz w:val="22"/>
          <w:szCs w:val="22"/>
          <w:color w:val="auto"/>
        </w:rPr>
        <w:t>IT Systems and Data. The Company has not been notified of, and has no Knowledge of any event or condition that would reasonably be expected to result in any security breach, attack or compromise to its IT Systems and Data. The Company is presently in material compliance with, all applicable laws, statutes or any judgment, order, rule or regulation of any court or arbitrator or governmental or regulatory authority, industry standards, internal policies and contractual obligations relating to the privacy and security of IT Systems and Data and to the protection of such IT Systems and Data from unauthorized use, access, misappropriation or modification. The Company has implemented backup and disaster recovery technology reasonably consistent with industry standards and practice.</w:t>
      </w:r>
    </w:p>
    <w:p>
      <w:pPr>
        <w:spacing w:after="0" w:line="191" w:lineRule="exact"/>
        <w:rPr>
          <w:sz w:val="20"/>
          <w:szCs w:val="20"/>
          <w:color w:val="auto"/>
        </w:rPr>
      </w:pPr>
    </w:p>
    <w:p>
      <w:pPr>
        <w:jc w:val="both"/>
        <w:ind w:firstLine="757"/>
        <w:spacing w:after="0" w:line="268" w:lineRule="auto"/>
        <w:tabs>
          <w:tab w:leader="none" w:pos="1525"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Compliance with Data Privacy Laws</w:t>
      </w:r>
      <w:r>
        <w:rPr>
          <w:rFonts w:ascii="Arial" w:cs="Arial" w:eastAsia="Arial" w:hAnsi="Arial"/>
          <w:sz w:val="19"/>
          <w:szCs w:val="19"/>
          <w:color w:val="auto"/>
        </w:rPr>
        <w:t>. The Company is in compliance with all applicable data privacy and security laws and regulations, including, without limitation, HIPAA and the European Union General Data Protection Regulation (“</w:t>
      </w:r>
      <w:r>
        <w:rPr>
          <w:rFonts w:ascii="Arial" w:cs="Arial" w:eastAsia="Arial" w:hAnsi="Arial"/>
          <w:sz w:val="19"/>
          <w:szCs w:val="19"/>
          <w:b w:val="1"/>
          <w:bCs w:val="1"/>
          <w:color w:val="auto"/>
        </w:rPr>
        <w:t>GDPR</w:t>
      </w:r>
      <w:r>
        <w:rPr>
          <w:rFonts w:ascii="Arial" w:cs="Arial" w:eastAsia="Arial" w:hAnsi="Arial"/>
          <w:sz w:val="19"/>
          <w:szCs w:val="19"/>
          <w:color w:val="auto"/>
        </w:rPr>
        <w:t>”) (EU 2016/679) (collectively, “</w:t>
      </w:r>
      <w:r>
        <w:rPr>
          <w:rFonts w:ascii="Arial" w:cs="Arial" w:eastAsia="Arial" w:hAnsi="Arial"/>
          <w:sz w:val="19"/>
          <w:szCs w:val="19"/>
          <w:b w:val="1"/>
          <w:bCs w:val="1"/>
          <w:color w:val="auto"/>
        </w:rPr>
        <w:t>Privacy Laws</w:t>
      </w:r>
      <w:r>
        <w:rPr>
          <w:rFonts w:ascii="Arial" w:cs="Arial" w:eastAsia="Arial" w:hAnsi="Arial"/>
          <w:sz w:val="19"/>
          <w:szCs w:val="19"/>
          <w:color w:val="auto"/>
        </w:rPr>
        <w:t>”).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Arial" w:cs="Arial" w:eastAsia="Arial" w:hAnsi="Arial"/>
          <w:sz w:val="19"/>
          <w:szCs w:val="19"/>
          <w:b w:val="1"/>
          <w:bCs w:val="1"/>
          <w:color w:val="auto"/>
        </w:rPr>
        <w:t>Policies</w:t>
      </w:r>
      <w:r>
        <w:rPr>
          <w:rFonts w:ascii="Arial" w:cs="Arial" w:eastAsia="Arial" w:hAnsi="Arial"/>
          <w:sz w:val="19"/>
          <w:szCs w:val="19"/>
          <w:color w:val="auto"/>
        </w:rPr>
        <w:t>”). The Company provides notice of its relevant Policies to its customers, employees, third party vendors and representatives where it is required to do so under Privacy Laws. The Policies provide sufficient notice of the Company’s then-current privacy practices relating to its subject matter and such Policies do not contain any material omissions of the Company’s then-current privacy practices. “</w:t>
      </w:r>
      <w:r>
        <w:rPr>
          <w:rFonts w:ascii="Arial" w:cs="Arial" w:eastAsia="Arial" w:hAnsi="Arial"/>
          <w:sz w:val="19"/>
          <w:szCs w:val="19"/>
          <w:b w:val="1"/>
          <w:bCs w:val="1"/>
          <w:color w:val="auto"/>
        </w:rPr>
        <w:t>Personal Data</w:t>
      </w:r>
      <w:r>
        <w:rPr>
          <w:rFonts w:ascii="Arial" w:cs="Arial" w:eastAsia="Arial" w:hAnsi="Arial"/>
          <w:sz w:val="19"/>
          <w:szCs w:val="19"/>
          <w:color w:val="auto"/>
        </w:rPr>
        <w:t>” means (i) a natural persons’ name, street address, telephone number, email address, photograph, social security number, bank information, or customer or account number; (ii) any information that would be considered an unfair or deceptive trade practice under Section 5 of the Federal Trade Commission Act; (iii) Protected Health Information as defined by HIPAA;</w:t>
      </w:r>
    </w:p>
    <w:p>
      <w:pPr>
        <w:spacing w:after="0" w:line="7" w:lineRule="exact"/>
        <w:rPr>
          <w:rFonts w:ascii="Arial" w:cs="Arial" w:eastAsia="Arial" w:hAnsi="Arial"/>
          <w:sz w:val="19"/>
          <w:szCs w:val="19"/>
          <w:color w:val="auto"/>
        </w:rPr>
      </w:pPr>
    </w:p>
    <w:p>
      <w:pPr>
        <w:jc w:val="both"/>
        <w:ind w:firstLine="8"/>
        <w:spacing w:after="0" w:line="243" w:lineRule="auto"/>
        <w:tabs>
          <w:tab w:leader="none" w:pos="387" w:val="left"/>
        </w:tabs>
        <w:numPr>
          <w:ilvl w:val="0"/>
          <w:numId w:val="81"/>
        </w:numPr>
        <w:rPr>
          <w:rFonts w:ascii="Arial" w:cs="Arial" w:eastAsia="Arial" w:hAnsi="Arial"/>
          <w:sz w:val="21"/>
          <w:szCs w:val="21"/>
          <w:color w:val="auto"/>
        </w:rPr>
      </w:pPr>
      <w:r>
        <w:rPr>
          <w:rFonts w:ascii="Arial" w:cs="Arial" w:eastAsia="Arial" w:hAnsi="Arial"/>
          <w:sz w:val="21"/>
          <w:szCs w:val="21"/>
          <w:color w:val="auto"/>
        </w:rPr>
        <w:t>“personal data” as defined by GDPR; and (v) any other piece of information that allows the identification of such natural person or household. To the Company’s Knowledge, none of such disclosures made or contained in any of the Policies have been inaccurate, misleading, deceptive or in violation of any Privacy Laws in any material respect. To the Company’s Knowledge, the execution, delivery and performance of this Agreement or any other agreement referred to in this Agreement will not result in a breach of any Privacy Laws or Policies. The Company (i) has not received written notice of any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and (iii) is not a party to any order of any court or regulatory authority that imposes on the Company any obligations or liabilities under any Privacy Law.</w:t>
      </w:r>
    </w:p>
    <w:p>
      <w:pPr>
        <w:spacing w:after="0" w:line="184" w:lineRule="exact"/>
        <w:rPr>
          <w:rFonts w:ascii="Arial" w:cs="Arial" w:eastAsia="Arial" w:hAnsi="Arial"/>
          <w:sz w:val="21"/>
          <w:szCs w:val="21"/>
          <w:color w:val="auto"/>
        </w:rPr>
      </w:pPr>
    </w:p>
    <w:p>
      <w:pPr>
        <w:ind w:right="20" w:firstLine="757"/>
        <w:spacing w:after="0" w:line="250" w:lineRule="auto"/>
        <w:tabs>
          <w:tab w:leader="none" w:pos="1498"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Other Underwriting Agreements</w:t>
      </w:r>
      <w:r>
        <w:rPr>
          <w:rFonts w:ascii="Arial" w:cs="Arial" w:eastAsia="Arial" w:hAnsi="Arial"/>
          <w:sz w:val="22"/>
          <w:szCs w:val="22"/>
          <w:color w:val="auto"/>
        </w:rPr>
        <w:t>. The Company is not a party to any agreement with an agent or underwriter for any other “at the market” or continuous equity transaction.</w:t>
      </w:r>
    </w:p>
    <w:p>
      <w:pPr>
        <w:spacing w:after="0" w:line="174" w:lineRule="exact"/>
        <w:rPr>
          <w:rFonts w:ascii="Arial" w:cs="Arial" w:eastAsia="Arial" w:hAnsi="Arial"/>
          <w:sz w:val="22"/>
          <w:szCs w:val="22"/>
          <w:color w:val="auto"/>
        </w:rPr>
      </w:pPr>
    </w:p>
    <w:p>
      <w:pPr>
        <w:jc w:val="both"/>
        <w:ind w:firstLine="757"/>
        <w:spacing w:after="0" w:line="235" w:lineRule="auto"/>
        <w:tabs>
          <w:tab w:leader="none" w:pos="1538"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Regulatory Matters</w:t>
      </w:r>
      <w:r>
        <w:rPr>
          <w:rFonts w:ascii="Arial" w:cs="Arial" w:eastAsia="Arial" w:hAnsi="Arial"/>
          <w:sz w:val="22"/>
          <w:szCs w:val="22"/>
          <w:color w:val="auto"/>
        </w:rPr>
        <w:t>. The studies, tests and preclinical or clinical trials conducted by or on behalf of the Company or in which the Company’s product candidates participated (the “</w:t>
      </w:r>
      <w:r>
        <w:rPr>
          <w:rFonts w:ascii="Arial" w:cs="Arial" w:eastAsia="Arial" w:hAnsi="Arial"/>
          <w:sz w:val="22"/>
          <w:szCs w:val="22"/>
          <w:b w:val="1"/>
          <w:bCs w:val="1"/>
          <w:color w:val="auto"/>
        </w:rPr>
        <w:t>Company Studies and Trials</w:t>
      </w:r>
      <w:r>
        <w:rPr>
          <w:rFonts w:ascii="Arial" w:cs="Arial" w:eastAsia="Arial" w:hAnsi="Arial"/>
          <w:sz w:val="22"/>
          <w:szCs w:val="22"/>
          <w:color w:val="auto"/>
        </w:rPr>
        <w:t>”) were and, if still pending, are being, conducted in all material respects in accordance with experimental protocols, procedures and controls pursuant to, where applicable, accepted professional scientific standards, and all applicable federal, state, or foreign laws, rules, orders, or regulations, including, without limitation, 21 C.F.R. Parts 50, 54, 56, 58, and 312; the descriptions of the results of the Company Studies and Trials contained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both"/>
        <w:spacing w:after="0" w:line="271" w:lineRule="auto"/>
        <w:rPr>
          <w:sz w:val="20"/>
          <w:szCs w:val="20"/>
          <w:color w:val="auto"/>
        </w:rPr>
      </w:pPr>
      <w:r>
        <w:rPr>
          <w:rFonts w:ascii="Arial" w:cs="Arial" w:eastAsia="Arial" w:hAnsi="Arial"/>
          <w:sz w:val="19"/>
          <w:szCs w:val="19"/>
          <w:color w:val="auto"/>
        </w:rPr>
        <w:t>Registration Statement and the Prospectus are accurate in all material respects; the Company has no Knowledge of any other studies or trials not described in the Registration Statement and the Prospectus, the results of which are inconsistent with or call in question the results described or referred to in the Registration Statement and the Prospectus; and the Company has not received any notices or correspondence with the FDA or any foreign, state or local governmental body exercising comparable authority requiring the termination, suspension or material modification of any Company Studies or Trials that termination, suspension or material modification would reasonably be expected to have a Material Adverse Change and, to the Company’s Knowledge, there are no reasonable grounds for the same. The Company has obtained (or caused to be obtained) informed consent by or on behalf of each human subject who participated in the Company Studies and Trials. To the extent applicable, in using or disclosing patient information received by the Company in connection with the Company Studies and Trials, the Company has complied in all material respects with all applicable laws and regulatory rules or requirements, including, without limitation, the Health Insurance Portability and Accountability Act of 1996, as amended, and the rules and regulations thereunder (collectively, “</w:t>
      </w:r>
      <w:r>
        <w:rPr>
          <w:rFonts w:ascii="Arial" w:cs="Arial" w:eastAsia="Arial" w:hAnsi="Arial"/>
          <w:sz w:val="19"/>
          <w:szCs w:val="19"/>
          <w:b w:val="1"/>
          <w:bCs w:val="1"/>
          <w:color w:val="auto"/>
        </w:rPr>
        <w:t>HIPAA</w:t>
      </w:r>
      <w:r>
        <w:rPr>
          <w:rFonts w:ascii="Arial" w:cs="Arial" w:eastAsia="Arial" w:hAnsi="Arial"/>
          <w:sz w:val="19"/>
          <w:szCs w:val="19"/>
          <w:color w:val="auto"/>
        </w:rPr>
        <w:t>”).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200" w:lineRule="exact"/>
        <w:rPr>
          <w:sz w:val="20"/>
          <w:szCs w:val="20"/>
          <w:color w:val="auto"/>
        </w:rPr>
      </w:pPr>
    </w:p>
    <w:p>
      <w:pPr>
        <w:spacing w:after="0" w:line="204" w:lineRule="exact"/>
        <w:rPr>
          <w:sz w:val="20"/>
          <w:szCs w:val="20"/>
          <w:color w:val="auto"/>
        </w:rPr>
      </w:pPr>
    </w:p>
    <w:p>
      <w:pPr>
        <w:jc w:val="both"/>
        <w:ind w:firstLine="757"/>
        <w:spacing w:after="0" w:line="269" w:lineRule="auto"/>
        <w:tabs>
          <w:tab w:leader="none" w:pos="1498"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Regulatory Compliance</w:t>
      </w:r>
      <w:r>
        <w:rPr>
          <w:rFonts w:ascii="Arial" w:cs="Arial" w:eastAsia="Arial" w:hAnsi="Arial"/>
          <w:sz w:val="19"/>
          <w:szCs w:val="19"/>
          <w:color w:val="auto"/>
        </w:rPr>
        <w:t>. The Company has not received any FDA Form 483, notice of adverse filing, warning letter, untitled letter or other correspondence or written notice from the FDA,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9"/>
          <w:szCs w:val="19"/>
          <w:b w:val="1"/>
          <w:bCs w:val="1"/>
          <w:color w:val="auto"/>
        </w:rPr>
        <w:t>FDCA</w:t>
      </w:r>
      <w:r>
        <w:rPr>
          <w:rFonts w:ascii="Arial" w:cs="Arial" w:eastAsia="Arial" w:hAnsi="Arial"/>
          <w:sz w:val="19"/>
          <w:szCs w:val="19"/>
          <w:color w:val="auto"/>
        </w:rPr>
        <w:t>”) or other Health Care Law or any Governmental Permit. Each of the Company and its directors, officers, employees and agents is and has been in material compliance with applicable health care laws, including without limitation, the FDCA, the Controlled Substances Act (21 U.S.C. § 801 et seq.), the Public Health Service Act (42 U.S.C. § 201 et seq.), the federal Anti-Kickback Statute (42 U.S.C. § 1320a-7b(b)), the civil False Claims Act (31 U.S.C.</w:t>
      </w:r>
    </w:p>
    <w:p>
      <w:pPr>
        <w:spacing w:after="0" w:line="4" w:lineRule="exact"/>
        <w:rPr>
          <w:rFonts w:ascii="Arial" w:cs="Arial" w:eastAsia="Arial" w:hAnsi="Arial"/>
          <w:sz w:val="19"/>
          <w:szCs w:val="19"/>
          <w:color w:val="auto"/>
        </w:rPr>
      </w:pPr>
    </w:p>
    <w:p>
      <w:pPr>
        <w:jc w:val="both"/>
        <w:ind w:firstLine="8"/>
        <w:spacing w:after="0" w:line="270" w:lineRule="auto"/>
        <w:tabs>
          <w:tab w:leader="none" w:pos="165" w:val="left"/>
        </w:tabs>
        <w:numPr>
          <w:ilvl w:val="0"/>
          <w:numId w:val="82"/>
        </w:numPr>
        <w:rPr>
          <w:rFonts w:ascii="Arial" w:cs="Arial" w:eastAsia="Arial" w:hAnsi="Arial"/>
          <w:sz w:val="19"/>
          <w:szCs w:val="19"/>
          <w:color w:val="auto"/>
        </w:rPr>
      </w:pPr>
      <w:r>
        <w:rPr>
          <w:rFonts w:ascii="Arial" w:cs="Arial" w:eastAsia="Arial" w:hAnsi="Arial"/>
          <w:sz w:val="19"/>
          <w:szCs w:val="19"/>
          <w:color w:val="auto"/>
        </w:rPr>
        <w:t>3729 et seq.), the criminal False Claims Law (42 U.S.C. § 1320a-7b(a)), the Civil Monetary Penalties Law (42 U.S.C. § 1320a-7a), all criminal laws relating to health care fraud and abuse, including but not limited to 18 U.S.C. Sections 286, 287, 1035, 1347 and 1349, and the health care fraud criminal provisions under the Health Insurance Portability and Accountability Act of 1996 (42 U.S.C. § 1320d et seq.), as amended by the Health Information Technology for Economic and Clinical Health Act of 2009 (42 U.S.C. § 17921 et seq.), the exclusions law (42 U.S.C. § 1320a-7), Medicare (Title XVIII of the Social Security Act), Medicaid (Title XIX of the Social Security Act), the Physician Payments Sunshine Act (42 U.S.C. § 1320a-7h), and the regulations promulgated pursuant to such laws, and comparable state laws, and all other local, state, federal, national, supranational, and foreign health care laws (collectively, “Health Care Laws”). Neither the Company nor any of its officers, directors, employees, or agents has been or is currently excluded from participation in the Medicare and Medicaid programs or any other state or federal health care program. The Company is not party to or does not have any ongoing reporting obligations pursuant to any corporate integrity agreement, deferred or non-prosecution agreement, monitoring agreement, consent decree, settlement order, plan of correction or similar agreement imposed by any governmental authority.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ind w:firstLine="757"/>
        <w:spacing w:after="0" w:line="274" w:lineRule="auto"/>
        <w:tabs>
          <w:tab w:leader="none" w:pos="149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Labor Dispute</w:t>
      </w:r>
      <w:r>
        <w:rPr>
          <w:rFonts w:ascii="Arial" w:cs="Arial" w:eastAsia="Arial" w:hAnsi="Arial"/>
          <w:sz w:val="19"/>
          <w:szCs w:val="19"/>
          <w:color w:val="auto"/>
        </w:rPr>
        <w:t>. There is (A) no significant unfair labor practice complaint pending against the Company, nor to the Company’s Knowledge, threatened against it,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to the Company’s Knowledge, threatened against it and (B) 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could reasonably be expected, singularly or in the aggregate, to have a Material Adverse Change. The Company is not aware that any key employee or significant group of employees of the Company plans to terminate employment with the Company.</w:t>
      </w:r>
    </w:p>
    <w:p>
      <w:pPr>
        <w:spacing w:after="0" w:line="152" w:lineRule="exact"/>
        <w:rPr>
          <w:rFonts w:ascii="Arial" w:cs="Arial" w:eastAsia="Arial" w:hAnsi="Arial"/>
          <w:sz w:val="19"/>
          <w:szCs w:val="19"/>
          <w:color w:val="auto"/>
        </w:rPr>
      </w:pPr>
    </w:p>
    <w:p>
      <w:pPr>
        <w:ind w:right="20" w:firstLine="757"/>
        <w:spacing w:after="0" w:line="256" w:lineRule="auto"/>
        <w:tabs>
          <w:tab w:leader="none" w:pos="1511"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PFIC</w:t>
      </w:r>
      <w:r>
        <w:rPr>
          <w:rFonts w:ascii="Arial" w:cs="Arial" w:eastAsia="Arial" w:hAnsi="Arial"/>
          <w:sz w:val="22"/>
          <w:szCs w:val="22"/>
          <w:color w:val="auto"/>
        </w:rPr>
        <w:t>. The Company is not a Passive Foreign Investment Company (“</w:t>
      </w:r>
      <w:r>
        <w:rPr>
          <w:rFonts w:ascii="Arial" w:cs="Arial" w:eastAsia="Arial" w:hAnsi="Arial"/>
          <w:sz w:val="22"/>
          <w:szCs w:val="22"/>
          <w:b w:val="1"/>
          <w:bCs w:val="1"/>
          <w:color w:val="auto"/>
        </w:rPr>
        <w:t>PFIC</w:t>
      </w:r>
      <w:r>
        <w:rPr>
          <w:rFonts w:ascii="Arial" w:cs="Arial" w:eastAsia="Arial" w:hAnsi="Arial"/>
          <w:sz w:val="22"/>
          <w:szCs w:val="22"/>
          <w:color w:val="auto"/>
        </w:rPr>
        <w:t>”) within the meaning of Section 1296 of the United States Internal Revenue Code of 1986.</w:t>
      </w:r>
    </w:p>
    <w:p>
      <w:pPr>
        <w:spacing w:after="0" w:line="168" w:lineRule="exact"/>
        <w:rPr>
          <w:rFonts w:ascii="Arial" w:cs="Arial" w:eastAsia="Arial" w:hAnsi="Arial"/>
          <w:sz w:val="22"/>
          <w:szCs w:val="22"/>
          <w:color w:val="auto"/>
        </w:rPr>
      </w:pPr>
    </w:p>
    <w:p>
      <w:pPr>
        <w:jc w:val="both"/>
        <w:ind w:firstLine="757"/>
        <w:spacing w:after="0"/>
        <w:tabs>
          <w:tab w:leader="none" w:pos="153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 Rated Securities</w:t>
      </w:r>
      <w:r>
        <w:rPr>
          <w:rFonts w:ascii="Arial" w:cs="Arial" w:eastAsia="Arial" w:hAnsi="Arial"/>
          <w:sz w:val="22"/>
          <w:szCs w:val="22"/>
          <w:color w:val="auto"/>
        </w:rPr>
        <w:t>. No securities issued or guaranteed by, or loans to, the Company are rated by any “nationally recognized statistical rating organization”, as that term is defined by the Commission for purposes of Rule 436(g)(2) of the rules and regulations under the Securities Act.</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Any certificate signed by any officer or representative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4(o)</w:t>
      </w:r>
      <w:r>
        <w:rPr>
          <w:rFonts w:ascii="Arial" w:cs="Arial" w:eastAsia="Arial" w:hAnsi="Arial"/>
          <w:sz w:val="22"/>
          <w:szCs w:val="22"/>
          <w:color w:val="auto"/>
        </w:rPr>
        <w:t xml:space="preserve"> hereof, counsel to the Company and counsel to the Agent, will rely upon the accuracy and truthfulness of the foregoing representations and hereby consents to such reliance.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3.ISSUANCE AND SALE OF COMMON SHARES</w:t>
      </w:r>
    </w:p>
    <w:p>
      <w:pPr>
        <w:spacing w:after="0" w:line="212" w:lineRule="exact"/>
        <w:rPr>
          <w:sz w:val="20"/>
          <w:szCs w:val="20"/>
          <w:color w:val="auto"/>
        </w:rPr>
      </w:pPr>
    </w:p>
    <w:p>
      <w:pPr>
        <w:jc w:val="both"/>
        <w:ind w:firstLine="757"/>
        <w:spacing w:after="0" w:line="236" w:lineRule="auto"/>
        <w:tabs>
          <w:tab w:leader="none" w:pos="1498"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Sale of Securities</w:t>
      </w:r>
      <w:r>
        <w:rPr>
          <w:rFonts w:ascii="Arial" w:cs="Arial" w:eastAsia="Arial" w:hAnsi="Arial"/>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7" w:lineRule="exact"/>
        <w:rPr>
          <w:rFonts w:ascii="Arial" w:cs="Arial" w:eastAsia="Arial" w:hAnsi="Arial"/>
          <w:sz w:val="22"/>
          <w:szCs w:val="22"/>
          <w:color w:val="auto"/>
        </w:rPr>
      </w:pPr>
    </w:p>
    <w:p>
      <w:pPr>
        <w:ind w:left="1500" w:hanging="743"/>
        <w:spacing w:after="0"/>
        <w:tabs>
          <w:tab w:leader="none" w:pos="150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440"/>
        <w:spacing w:after="0" w:line="249" w:lineRule="auto"/>
        <w:tabs>
          <w:tab w:leader="none" w:pos="771"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Issuance Notice</w:t>
      </w:r>
      <w:r>
        <w:rPr>
          <w:rFonts w:ascii="Arial" w:cs="Arial" w:eastAsia="Arial" w:hAnsi="Arial"/>
          <w:sz w:val="21"/>
          <w:szCs w:val="21"/>
          <w:color w:val="auto"/>
        </w:rPr>
        <w:t xml:space="preserve">. Upon the terms and subject to the conditions set forth herein, on any Trading Day during the Agency Period on which the conditions set forth in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5(b)</w:t>
      </w:r>
      <w:r>
        <w:rPr>
          <w:rFonts w:ascii="Arial" w:cs="Arial" w:eastAsia="Arial" w:hAnsi="Arial"/>
          <w:sz w:val="21"/>
          <w:szCs w:val="21"/>
          <w:color w:val="auto"/>
        </w:rPr>
        <w:t xml:space="preserve"> shall have been satisfied, the Company may exercise its right to request an issuance of Shares by delivering to the Agent an Issuance Notice;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(A) in no event may the Company deliver an Issuance Notice to the extent that the sum of (x) the aggregate Sales Price of the requested Issuance Amount, plus (y) the aggregate Sales Price of all Shares issued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both"/>
        <w:spacing w:after="0" w:line="248" w:lineRule="exact"/>
        <w:rPr>
          <w:sz w:val="20"/>
          <w:szCs w:val="20"/>
          <w:color w:val="auto"/>
        </w:rPr>
      </w:pPr>
      <w:r>
        <w:rPr>
          <w:rFonts w:ascii="Arial" w:cs="Arial" w:eastAsia="Arial" w:hAnsi="Arial"/>
          <w:sz w:val="22"/>
          <w:szCs w:val="22"/>
          <w:color w:val="auto"/>
        </w:rPr>
        <w:t>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22"/>
          <w:szCs w:val="22"/>
          <w:color w:val="auto"/>
        </w:rPr>
        <w:t>‑</w:t>
      </w:r>
      <w:r>
        <w:rPr>
          <w:rFonts w:ascii="Arial" w:cs="Arial" w:eastAsia="Arial" w:hAnsi="Arial"/>
          <w:sz w:val="22"/>
          <w:szCs w:val="22"/>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8" w:lineRule="exact"/>
        <w:rPr>
          <w:sz w:val="20"/>
          <w:szCs w:val="20"/>
          <w:color w:val="auto"/>
        </w:rPr>
      </w:pPr>
    </w:p>
    <w:p>
      <w:pPr>
        <w:jc w:val="both"/>
        <w:ind w:firstLine="440"/>
        <w:spacing w:after="0" w:line="279" w:lineRule="auto"/>
        <w:tabs>
          <w:tab w:leader="none" w:pos="86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Agent Efforts</w:t>
      </w:r>
      <w:r>
        <w:rPr>
          <w:rFonts w:ascii="Arial" w:cs="Arial" w:eastAsia="Arial" w:hAnsi="Arial"/>
          <w:sz w:val="19"/>
          <w:szCs w:val="19"/>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50" w:lineRule="exact"/>
        <w:rPr>
          <w:rFonts w:ascii="Arial" w:cs="Arial" w:eastAsia="Arial" w:hAnsi="Arial"/>
          <w:sz w:val="19"/>
          <w:szCs w:val="19"/>
          <w:color w:val="auto"/>
        </w:rPr>
      </w:pPr>
    </w:p>
    <w:p>
      <w:pPr>
        <w:jc w:val="both"/>
        <w:ind w:firstLine="440"/>
        <w:spacing w:after="0" w:line="279" w:lineRule="auto"/>
        <w:tabs>
          <w:tab w:leader="none" w:pos="918"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50" w:lineRule="exact"/>
        <w:rPr>
          <w:rFonts w:ascii="Arial" w:cs="Arial" w:eastAsia="Arial" w:hAnsi="Arial"/>
          <w:sz w:val="19"/>
          <w:szCs w:val="19"/>
          <w:color w:val="auto"/>
        </w:rPr>
      </w:pPr>
    </w:p>
    <w:p>
      <w:pPr>
        <w:jc w:val="both"/>
        <w:ind w:firstLine="440"/>
        <w:spacing w:after="0" w:line="238" w:lineRule="auto"/>
        <w:tabs>
          <w:tab w:leader="none" w:pos="891"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Confirmation to the Company</w:t>
      </w:r>
      <w:r>
        <w:rPr>
          <w:rFonts w:ascii="Arial" w:cs="Arial" w:eastAsia="Arial" w:hAnsi="Arial"/>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4" w:lineRule="exact"/>
        <w:rPr>
          <w:rFonts w:ascii="Arial" w:cs="Arial" w:eastAsia="Arial" w:hAnsi="Arial"/>
          <w:sz w:val="22"/>
          <w:szCs w:val="22"/>
          <w:color w:val="auto"/>
        </w:rPr>
      </w:pPr>
    </w:p>
    <w:p>
      <w:pPr>
        <w:jc w:val="both"/>
        <w:ind w:firstLine="440"/>
        <w:spacing w:after="0" w:line="245" w:lineRule="auto"/>
        <w:tabs>
          <w:tab w:leader="none" w:pos="86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Each issuance of Shares will be settled on the applicable Settlement Date for such issuance of Shares and, subject to the provisions of </w:t>
      </w:r>
      <w:r>
        <w:rPr>
          <w:rFonts w:ascii="Arial" w:cs="Arial" w:eastAsia="Arial" w:hAnsi="Arial"/>
          <w:sz w:val="21"/>
          <w:szCs w:val="21"/>
          <w:u w:val="single" w:color="auto"/>
          <w:color w:val="auto"/>
        </w:rPr>
        <w:t>Section 5</w:t>
      </w:r>
      <w:r>
        <w:rPr>
          <w:rFonts w:ascii="Arial" w:cs="Arial" w:eastAsia="Arial" w:hAnsi="Arial"/>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21"/>
          <w:szCs w:val="21"/>
          <w:b w:val="1"/>
          <w:bCs w:val="1"/>
          <w:color w:val="auto"/>
        </w:rPr>
        <w:t>Time of Sale</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firstLine="440"/>
        <w:spacing w:after="0"/>
        <w:tabs>
          <w:tab w:leader="none" w:pos="877"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Suspension or Termination of Sales</w:t>
      </w:r>
      <w:r>
        <w:rPr>
          <w:rFonts w:ascii="Arial" w:cs="Arial" w:eastAsia="Arial" w:hAnsi="Arial"/>
          <w:sz w:val="22"/>
          <w:szCs w:val="22"/>
          <w:color w:val="auto"/>
        </w:rPr>
        <w:t>. Consistent with standard market settlement practices, the Company or the Agent may, upon notice to the other party hereto in writing (including by email correspondence to each of the individuals of the other party whose names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spacing w:after="0" w:line="272" w:lineRule="auto"/>
        <w:rPr>
          <w:sz w:val="20"/>
          <w:szCs w:val="20"/>
          <w:color w:val="auto"/>
        </w:rPr>
      </w:pPr>
      <w:r>
        <w:rPr>
          <w:rFonts w:ascii="Arial" w:cs="Arial" w:eastAsia="Arial" w:hAnsi="Arial"/>
          <w:sz w:val="19"/>
          <w:szCs w:val="19"/>
          <w:color w:val="auto"/>
        </w:rPr>
        <w:t xml:space="preserve">set forth on Schedule A) or by telephone (confirmed immediately by verifiable email), suspend 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and documented legal fees and expenses), as incurred, arising out of or in connection with such default by the Company (provided, however, that such default was not caused by any failure by the Agent to fulfill its obligations hereunder).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 3(b)(i)</w:t>
      </w:r>
      <w:r>
        <w:rPr>
          <w:rFonts w:ascii="Arial" w:cs="Arial" w:eastAsia="Arial" w:hAnsi="Arial"/>
          <w:sz w:val="19"/>
          <w:szCs w:val="19"/>
          <w:color w:val="auto"/>
        </w:rPr>
        <w:t>.</w:t>
      </w:r>
    </w:p>
    <w:p>
      <w:pPr>
        <w:spacing w:after="0" w:line="157" w:lineRule="exact"/>
        <w:rPr>
          <w:sz w:val="20"/>
          <w:szCs w:val="20"/>
          <w:color w:val="auto"/>
        </w:rPr>
      </w:pPr>
    </w:p>
    <w:p>
      <w:pPr>
        <w:jc w:val="both"/>
        <w:ind w:firstLine="440"/>
        <w:spacing w:after="0" w:line="252" w:lineRule="auto"/>
        <w:tabs>
          <w:tab w:leader="none" w:pos="877"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No Guarantee of Placement, Etc.</w:t>
      </w:r>
      <w:r>
        <w:rPr>
          <w:rFonts w:ascii="Arial" w:cs="Arial" w:eastAsia="Arial" w:hAnsi="Arial"/>
          <w:sz w:val="21"/>
          <w:szCs w:val="21"/>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3" w:lineRule="exact"/>
        <w:rPr>
          <w:rFonts w:ascii="Arial" w:cs="Arial" w:eastAsia="Arial" w:hAnsi="Arial"/>
          <w:sz w:val="21"/>
          <w:szCs w:val="21"/>
          <w:color w:val="auto"/>
        </w:rPr>
      </w:pPr>
    </w:p>
    <w:p>
      <w:pPr>
        <w:jc w:val="both"/>
        <w:ind w:firstLine="757"/>
        <w:spacing w:after="0" w:line="297" w:lineRule="auto"/>
        <w:tabs>
          <w:tab w:leader="none" w:pos="1613"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34" w:lineRule="exact"/>
        <w:rPr>
          <w:sz w:val="20"/>
          <w:szCs w:val="20"/>
          <w:color w:val="auto"/>
        </w:rPr>
      </w:pPr>
    </w:p>
    <w:p>
      <w:pPr>
        <w:jc w:val="both"/>
        <w:ind w:firstLine="757"/>
        <w:spacing w:after="0" w:line="297"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133"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both"/>
        <w:spacing w:after="0" w:line="268" w:lineRule="auto"/>
        <w:rPr>
          <w:sz w:val="20"/>
          <w:szCs w:val="20"/>
          <w:color w:val="auto"/>
        </w:rPr>
      </w:pPr>
      <w:r>
        <w:rPr>
          <w:rFonts w:ascii="Arial" w:cs="Arial" w:eastAsia="Arial" w:hAnsi="Arial"/>
          <w:sz w:val="19"/>
          <w:szCs w:val="19"/>
          <w:color w:val="auto"/>
        </w:rPr>
        <w:t>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9"/>
          <w:szCs w:val="19"/>
          <w:b w:val="1"/>
          <w:bCs w:val="1"/>
          <w:color w:val="auto"/>
        </w:rPr>
        <w:t>Blue Sky</w:t>
      </w:r>
      <w:r>
        <w:rPr>
          <w:rFonts w:ascii="Arial" w:cs="Arial" w:eastAsia="Arial" w:hAnsi="Arial"/>
          <w:sz w:val="19"/>
          <w:szCs w:val="19"/>
          <w:color w:val="auto"/>
        </w:rPr>
        <w:t xml:space="preserve"> </w:t>
      </w:r>
      <w:r>
        <w:rPr>
          <w:rFonts w:ascii="Arial" w:cs="Arial" w:eastAsia="Arial" w:hAnsi="Arial"/>
          <w:sz w:val="19"/>
          <w:szCs w:val="19"/>
          <w:b w:val="1"/>
          <w:bCs w:val="1"/>
          <w:color w:val="auto"/>
        </w:rPr>
        <w:t>Survey</w:t>
      </w:r>
      <w:r>
        <w:rPr>
          <w:rFonts w:ascii="Arial" w:cs="Arial" w:eastAsia="Arial" w:hAnsi="Arial"/>
          <w:sz w:val="19"/>
          <w:szCs w:val="19"/>
          <w:color w:val="auto"/>
        </w:rPr>
        <w:t>” or memorandum and a “Canadian wrapper,” and any supplements thereto, advising the Agent of such qualifications,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the Agent’s counsel pursuant to subsections (vi) and (vii) above shall not exceed</w:t>
      </w:r>
    </w:p>
    <w:p>
      <w:pPr>
        <w:spacing w:after="0" w:line="6" w:lineRule="exact"/>
        <w:rPr>
          <w:sz w:val="20"/>
          <w:szCs w:val="20"/>
          <w:color w:val="auto"/>
        </w:rPr>
      </w:pPr>
    </w:p>
    <w:p>
      <w:pPr>
        <w:ind w:right="20" w:firstLine="8"/>
        <w:spacing w:after="0" w:line="236" w:lineRule="auto"/>
        <w:tabs>
          <w:tab w:leader="none" w:pos="379"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$75,000 in connection with the first Issuance Notice and (B) $15,000 in connection with each Triggering Event Date (as defined below) on which the Company is required to provide a certificate pursuant to </w:t>
      </w:r>
      <w:r>
        <w:rPr>
          <w:rFonts w:ascii="Arial" w:cs="Arial" w:eastAsia="Arial" w:hAnsi="Arial"/>
          <w:sz w:val="22"/>
          <w:szCs w:val="22"/>
          <w:u w:val="single" w:color="auto"/>
          <w:color w:val="auto"/>
        </w:rPr>
        <w:t>Section 4(o)</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4.ADDITIONAL COVENANTS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175" w:lineRule="exact"/>
        <w:rPr>
          <w:sz w:val="20"/>
          <w:szCs w:val="20"/>
          <w:color w:val="auto"/>
        </w:rPr>
      </w:pPr>
    </w:p>
    <w:p>
      <w:pPr>
        <w:jc w:val="both"/>
        <w:ind w:firstLine="757"/>
        <w:spacing w:after="0" w:line="273" w:lineRule="auto"/>
        <w:tabs>
          <w:tab w:leader="none" w:pos="1511"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 Supplement”)</w:t>
      </w:r>
      <w:r>
        <w:rPr>
          <w:rFonts w:ascii="Arial" w:cs="Arial" w:eastAsia="Arial" w:hAnsi="Arial"/>
          <w:sz w:val="19"/>
          <w:szCs w:val="19"/>
          <w:color w:val="auto"/>
        </w:rPr>
        <w:t>, such summary information and, at least once a quarter and subject to this Section 4, file such Interim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Prospectus Supplement pursuant to Rule 424(b) under the Securities Act (and within the time periods required by Rule 424(b) and Rule 430B under the Securities Act)). For the avoidance of doubt, the Company’s compliance with the reporting requirements of the Exchange Act applicable to the Company shall be deemed to satisfy this </w:t>
      </w:r>
      <w:r>
        <w:rPr>
          <w:rFonts w:ascii="Arial" w:cs="Arial" w:eastAsia="Arial" w:hAnsi="Arial"/>
          <w:sz w:val="19"/>
          <w:szCs w:val="19"/>
          <w:u w:val="single" w:color="auto"/>
          <w:color w:val="auto"/>
        </w:rPr>
        <w:t>Section 4(a)</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757"/>
        <w:spacing w:after="0" w:line="235" w:lineRule="auto"/>
        <w:tabs>
          <w:tab w:leader="none" w:pos="149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Securities Act Compliance</w:t>
      </w:r>
      <w:r>
        <w:rPr>
          <w:rFonts w:ascii="Arial" w:cs="Arial" w:eastAsia="Arial" w:hAnsi="Arial"/>
          <w:sz w:val="22"/>
          <w:szCs w:val="22"/>
          <w:color w:val="auto"/>
        </w:rPr>
        <w:t>. After the date of this Agreement, the Company shall promptly advise the Agent in writing (i) of the receipt of any comments of, or requests for additional or supplemental information from, the Commission relating to the Registration Statement or the Prospectus;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spacing w:after="0" w:line="245" w:lineRule="auto"/>
        <w:rPr>
          <w:sz w:val="20"/>
          <w:szCs w:val="20"/>
          <w:color w:val="auto"/>
        </w:rPr>
      </w:pPr>
      <w:r>
        <w:rPr>
          <w:rFonts w:ascii="Arial" w:cs="Arial" w:eastAsia="Arial" w:hAnsi="Arial"/>
          <w:sz w:val="21"/>
          <w:szCs w:val="21"/>
          <w:color w:val="auto"/>
        </w:rPr>
        <w:t>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commercially reasonable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2" w:lineRule="exact"/>
        <w:rPr>
          <w:sz w:val="20"/>
          <w:szCs w:val="20"/>
          <w:color w:val="auto"/>
        </w:rPr>
      </w:pPr>
    </w:p>
    <w:p>
      <w:pPr>
        <w:jc w:val="both"/>
        <w:ind w:firstLine="757"/>
        <w:spacing w:after="0" w:line="271" w:lineRule="auto"/>
        <w:tabs>
          <w:tab w:leader="none" w:pos="149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(including by filing a document incorporated by reference therein)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believes that it is in its best interest not to file such amendment or supplement.</w:t>
      </w:r>
    </w:p>
    <w:p>
      <w:pPr>
        <w:spacing w:after="0" w:line="164" w:lineRule="exact"/>
        <w:rPr>
          <w:rFonts w:ascii="Arial" w:cs="Arial" w:eastAsia="Arial" w:hAnsi="Arial"/>
          <w:sz w:val="19"/>
          <w:szCs w:val="19"/>
          <w:color w:val="auto"/>
        </w:rPr>
      </w:pPr>
    </w:p>
    <w:p>
      <w:pPr>
        <w:jc w:val="both"/>
        <w:ind w:firstLine="757"/>
        <w:spacing w:after="0" w:line="274" w:lineRule="auto"/>
        <w:tabs>
          <w:tab w:leader="none" w:pos="155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 provided, that the determination to file or not to file any amendment or supplement with the Commission shall be based on the Company’s reasonable opinion and made exclusively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firstLine="757"/>
        <w:spacing w:after="0" w:line="236" w:lineRule="auto"/>
        <w:tabs>
          <w:tab w:leader="none" w:pos="153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Use of Free Writing Prospectus</w:t>
      </w:r>
      <w:r>
        <w:rPr>
          <w:rFonts w:ascii="Arial" w:cs="Arial" w:eastAsia="Arial" w:hAnsi="Arial"/>
          <w:sz w:val="22"/>
          <w:szCs w:val="22"/>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22"/>
          <w:szCs w:val="22"/>
          <w:b w:val="1"/>
          <w:bCs w:val="1"/>
          <w:color w:val="auto"/>
        </w:rPr>
        <w:t>Free</w:t>
      </w:r>
      <w:r>
        <w:rPr>
          <w:rFonts w:ascii="Arial" w:cs="Arial" w:eastAsia="Arial" w:hAnsi="Arial"/>
          <w:sz w:val="22"/>
          <w:szCs w:val="22"/>
          <w:color w:val="auto"/>
        </w:rPr>
        <w:t xml:space="preserve"> </w:t>
      </w:r>
      <w:r>
        <w:rPr>
          <w:rFonts w:ascii="Arial" w:cs="Arial" w:eastAsia="Arial" w:hAnsi="Arial"/>
          <w:sz w:val="22"/>
          <w:szCs w:val="22"/>
          <w:b w:val="1"/>
          <w:bCs w:val="1"/>
          <w:color w:val="auto"/>
        </w:rPr>
        <w:t>Writing Prospectus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757"/>
        <w:spacing w:after="0" w:line="270" w:lineRule="auto"/>
        <w:tabs>
          <w:tab w:leader="none" w:pos="151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firstLine="757"/>
        <w:spacing w:after="0" w:line="297" w:lineRule="auto"/>
        <w:tabs>
          <w:tab w:leader="none" w:pos="151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33" w:lineRule="exact"/>
        <w:rPr>
          <w:rFonts w:ascii="Arial" w:cs="Arial" w:eastAsia="Arial" w:hAnsi="Arial"/>
          <w:sz w:val="19"/>
          <w:szCs w:val="19"/>
          <w:color w:val="auto"/>
        </w:rPr>
      </w:pPr>
    </w:p>
    <w:p>
      <w:pPr>
        <w:jc w:val="both"/>
        <w:ind w:firstLine="757"/>
        <w:spacing w:after="0" w:line="234" w:lineRule="auto"/>
        <w:tabs>
          <w:tab w:leader="none" w:pos="149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Copies of Registration Statement and Prospectus</w:t>
      </w:r>
      <w:r>
        <w:rPr>
          <w:rFonts w:ascii="Arial" w:cs="Arial" w:eastAsia="Arial" w:hAnsi="Arial"/>
          <w:sz w:val="22"/>
          <w:szCs w:val="22"/>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spacing w:after="0" w:line="271" w:lineRule="auto"/>
        <w:rPr>
          <w:sz w:val="20"/>
          <w:szCs w:val="20"/>
          <w:color w:val="auto"/>
        </w:rPr>
      </w:pPr>
      <w:r>
        <w:rPr>
          <w:rFonts w:ascii="Arial" w:cs="Arial" w:eastAsia="Arial" w:hAnsi="Arial"/>
          <w:sz w:val="19"/>
          <w:szCs w:val="19"/>
          <w:color w:val="auto"/>
        </w:rPr>
        <w:t>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including by filing a document incorporated by reference therein; provided, however, that if during such same period the Agent is required to deliver a prospectus in respect of transactions in the Shares, the Company shall promptly prepare and file with the Commission such an amendment or supplement.</w:t>
      </w:r>
    </w:p>
    <w:p>
      <w:pPr>
        <w:spacing w:after="0" w:line="165" w:lineRule="exact"/>
        <w:rPr>
          <w:sz w:val="20"/>
          <w:szCs w:val="20"/>
          <w:color w:val="auto"/>
        </w:rPr>
      </w:pPr>
    </w:p>
    <w:p>
      <w:pPr>
        <w:jc w:val="both"/>
        <w:ind w:firstLine="757"/>
        <w:spacing w:after="0" w:line="273" w:lineRule="auto"/>
        <w:tabs>
          <w:tab w:leader="none" w:pos="1511"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at the earliest possible moment.</w:t>
      </w:r>
    </w:p>
    <w:p>
      <w:pPr>
        <w:spacing w:after="0" w:line="160" w:lineRule="exact"/>
        <w:rPr>
          <w:rFonts w:ascii="Arial" w:cs="Arial" w:eastAsia="Arial" w:hAnsi="Arial"/>
          <w:sz w:val="19"/>
          <w:szCs w:val="19"/>
          <w:color w:val="auto"/>
        </w:rPr>
      </w:pPr>
    </w:p>
    <w:p>
      <w:pPr>
        <w:jc w:val="both"/>
        <w:ind w:firstLine="757"/>
        <w:spacing w:after="0" w:line="282" w:lineRule="auto"/>
        <w:tabs>
          <w:tab w:leader="none" w:pos="149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Earnings Statement</w:t>
      </w:r>
      <w:r>
        <w:rPr>
          <w:rFonts w:ascii="Arial" w:cs="Arial" w:eastAsia="Arial" w:hAnsi="Arial"/>
          <w:sz w:val="19"/>
          <w:szCs w:val="19"/>
          <w:color w:val="auto"/>
        </w:rPr>
        <w:t xml:space="preserve">.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For the avoidance of doubt, the Company’s compliance with the reporting requirements of the Exchange Act applicable to the Company shall be deemed to satisfy this </w:t>
      </w:r>
      <w:r>
        <w:rPr>
          <w:rFonts w:ascii="Arial" w:cs="Arial" w:eastAsia="Arial" w:hAnsi="Arial"/>
          <w:sz w:val="19"/>
          <w:szCs w:val="19"/>
          <w:u w:val="single" w:color="auto"/>
          <w:color w:val="auto"/>
        </w:rPr>
        <w:t>Section 4(j)</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757"/>
        <w:spacing w:after="0" w:line="257" w:lineRule="auto"/>
        <w:tabs>
          <w:tab w:leader="none" w:pos="1525"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Listing; Reservation of Shares</w:t>
      </w:r>
      <w:r>
        <w:rPr>
          <w:rFonts w:ascii="Arial" w:cs="Arial" w:eastAsia="Arial" w:hAnsi="Arial"/>
          <w:sz w:val="21"/>
          <w:szCs w:val="21"/>
          <w:color w:val="auto"/>
        </w:rPr>
        <w:t>. (a) The Company will use commercially reasonable efforts to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left="1520" w:hanging="763"/>
        <w:spacing w:after="0"/>
        <w:tabs>
          <w:tab w:leader="none" w:pos="152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shall engage and maintain, at its expense, a registrar and transfer agent for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88" w:lineRule="exact"/>
        <w:rPr>
          <w:sz w:val="20"/>
          <w:szCs w:val="20"/>
          <w:color w:val="auto"/>
        </w:rPr>
      </w:pPr>
    </w:p>
    <w:p>
      <w:pPr>
        <w:jc w:val="both"/>
        <w:ind w:firstLine="757"/>
        <w:spacing w:after="0" w:line="252" w:lineRule="auto"/>
        <w:tabs>
          <w:tab w:leader="none" w:pos="1552"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3" w:lineRule="exact"/>
        <w:rPr>
          <w:rFonts w:ascii="Arial" w:cs="Arial" w:eastAsia="Arial" w:hAnsi="Arial"/>
          <w:sz w:val="21"/>
          <w:szCs w:val="21"/>
          <w:color w:val="auto"/>
        </w:rPr>
      </w:pPr>
    </w:p>
    <w:p>
      <w:pPr>
        <w:jc w:val="both"/>
        <w:ind w:firstLine="757"/>
        <w:spacing w:after="0" w:line="274" w:lineRule="auto"/>
        <w:tabs>
          <w:tab w:leader="none" w:pos="149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58" w:lineRule="exact"/>
        <w:rPr>
          <w:rFonts w:ascii="Arial" w:cs="Arial" w:eastAsia="Arial" w:hAnsi="Arial"/>
          <w:sz w:val="19"/>
          <w:szCs w:val="19"/>
          <w:color w:val="auto"/>
        </w:rPr>
      </w:pPr>
    </w:p>
    <w:p>
      <w:pPr>
        <w:ind w:firstLine="757"/>
        <w:spacing w:after="0" w:line="274" w:lineRule="auto"/>
        <w:tabs>
          <w:tab w:leader="none" w:pos="149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Deliverables at Triggering Event Dates; Certificates.</w:t>
      </w:r>
      <w:r>
        <w:rPr>
          <w:rFonts w:ascii="Arial" w:cs="Arial" w:eastAsia="Arial" w:hAnsi="Arial"/>
          <w:sz w:val="21"/>
          <w:szCs w:val="21"/>
          <w:color w:val="auto"/>
        </w:rPr>
        <w:t xml:space="preserve"> The Company agrees that on or prior to the date of the first Issuance Notice and, during the term of this Agreement after the date of the first Issuance Notice, upon:</w:t>
      </w:r>
    </w:p>
    <w:p>
      <w:pPr>
        <w:spacing w:after="0" w:line="150" w:lineRule="exact"/>
        <w:rPr>
          <w:rFonts w:ascii="Arial" w:cs="Arial" w:eastAsia="Arial" w:hAnsi="Arial"/>
          <w:sz w:val="21"/>
          <w:szCs w:val="21"/>
          <w:color w:val="auto"/>
        </w:rPr>
      </w:pPr>
    </w:p>
    <w:p>
      <w:pPr>
        <w:jc w:val="both"/>
        <w:ind w:firstLine="872"/>
        <w:spacing w:after="0" w:line="238" w:lineRule="auto"/>
        <w:tabs>
          <w:tab w:leader="none" w:pos="1296"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11" w:lineRule="exact"/>
        <w:rPr>
          <w:rFonts w:ascii="Arial" w:cs="Arial" w:eastAsia="Arial" w:hAnsi="Arial"/>
          <w:sz w:val="22"/>
          <w:szCs w:val="22"/>
          <w:color w:val="auto"/>
        </w:rPr>
      </w:pPr>
    </w:p>
    <w:p>
      <w:pPr>
        <w:jc w:val="both"/>
        <w:ind w:firstLine="872"/>
        <w:spacing w:after="0" w:line="257" w:lineRule="auto"/>
        <w:tabs>
          <w:tab w:leader="none" w:pos="1296"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96" w:lineRule="exact"/>
        <w:rPr>
          <w:rFonts w:ascii="Arial" w:cs="Arial" w:eastAsia="Arial" w:hAnsi="Arial"/>
          <w:sz w:val="21"/>
          <w:szCs w:val="21"/>
          <w:color w:val="auto"/>
        </w:rPr>
      </w:pPr>
    </w:p>
    <w:p>
      <w:pPr>
        <w:jc w:val="both"/>
        <w:ind w:firstLine="872"/>
        <w:spacing w:after="0" w:line="236" w:lineRule="auto"/>
        <w:tabs>
          <w:tab w:leader="none" w:pos="1296"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(any such event, a “</w:t>
      </w:r>
      <w:r>
        <w:rPr>
          <w:rFonts w:ascii="Arial" w:cs="Arial" w:eastAsia="Arial" w:hAnsi="Arial"/>
          <w:sz w:val="19"/>
          <w:szCs w:val="19"/>
          <w:b w:val="1"/>
          <w:bCs w:val="1"/>
          <w:color w:val="auto"/>
        </w:rPr>
        <w:t>Triggering Event Date</w:t>
      </w:r>
      <w:r>
        <w:rPr>
          <w:rFonts w:ascii="Arial" w:cs="Arial" w:eastAsia="Arial" w:hAnsi="Arial"/>
          <w:sz w:val="19"/>
          <w:szCs w:val="19"/>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spacing w:after="0" w:line="272" w:lineRule="auto"/>
        <w:rPr>
          <w:sz w:val="20"/>
          <w:szCs w:val="20"/>
          <w:color w:val="auto"/>
        </w:rPr>
      </w:pPr>
      <w:r>
        <w:rPr>
          <w:rFonts w:ascii="Arial" w:cs="Arial" w:eastAsia="Arial" w:hAnsi="Arial"/>
          <w:sz w:val="19"/>
          <w:szCs w:val="19"/>
          <w:color w:val="auto"/>
        </w:rPr>
        <w:t xml:space="preserve">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9"/>
          <w:szCs w:val="19"/>
          <w:u w:val="single" w:color="auto"/>
          <w:color w:val="auto"/>
        </w:rPr>
        <w:t>Section 5(a)(iii)</w:t>
      </w:r>
      <w:r>
        <w:rPr>
          <w:rFonts w:ascii="Arial" w:cs="Arial" w:eastAsia="Arial" w:hAnsi="Arial"/>
          <w:sz w:val="19"/>
          <w:szCs w:val="19"/>
          <w:color w:val="auto"/>
        </w:rPr>
        <w:t xml:space="preserve"> hereof, and (C) containing any other certification that the Agent shall reasonably request. The requirement to provide a certificate under this </w:t>
      </w:r>
      <w:r>
        <w:rPr>
          <w:rFonts w:ascii="Arial" w:cs="Arial" w:eastAsia="Arial" w:hAnsi="Arial"/>
          <w:sz w:val="19"/>
          <w:szCs w:val="19"/>
          <w:u w:val="single" w:color="auto"/>
          <w:color w:val="auto"/>
        </w:rPr>
        <w:t>Section 4(o)</w:t>
      </w:r>
      <w:r>
        <w:rPr>
          <w:rFonts w:ascii="Arial" w:cs="Arial" w:eastAsia="Arial" w:hAnsi="Arial"/>
          <w:sz w:val="19"/>
          <w:szCs w:val="19"/>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200" w:lineRule="exact"/>
        <w:rPr>
          <w:sz w:val="20"/>
          <w:szCs w:val="20"/>
          <w:color w:val="auto"/>
        </w:rPr>
      </w:pPr>
    </w:p>
    <w:p>
      <w:pPr>
        <w:spacing w:after="0" w:line="204" w:lineRule="exact"/>
        <w:rPr>
          <w:sz w:val="20"/>
          <w:szCs w:val="20"/>
          <w:color w:val="auto"/>
        </w:rPr>
      </w:pPr>
    </w:p>
    <w:p>
      <w:pPr>
        <w:jc w:val="both"/>
        <w:ind w:firstLine="757"/>
        <w:spacing w:after="0" w:line="273" w:lineRule="auto"/>
        <w:tabs>
          <w:tab w:leader="none" w:pos="1511"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Cooley LLP, counsel to the Company, Latham &amp; Watkins LLP, counsel to the Agent, and Wilson Sonsini Goodrich &amp; Rosati, intellectual property counsel to the Company, each dated the date of delivery, shall be furnished to the Agent, each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5"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BDO USA,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as promptly as possible following the occurrence of any material transaction or event requiring the filing of a current report on Form 8-K containing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spacing w:after="0" w:line="241" w:lineRule="auto"/>
        <w:rPr>
          <w:sz w:val="20"/>
          <w:szCs w:val="20"/>
          <w:color w:val="auto"/>
        </w:rPr>
      </w:pPr>
      <w:r>
        <w:rPr>
          <w:rFonts w:ascii="Arial" w:cs="Arial" w:eastAsia="Arial" w:hAnsi="Arial"/>
          <w:sz w:val="22"/>
          <w:szCs w:val="22"/>
          <w:color w:val="auto"/>
        </w:rPr>
        <w:t>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4" w:lineRule="exact"/>
        <w:rPr>
          <w:sz w:val="20"/>
          <w:szCs w:val="20"/>
          <w:color w:val="auto"/>
        </w:rPr>
      </w:pPr>
    </w:p>
    <w:p>
      <w:pPr>
        <w:jc w:val="both"/>
        <w:ind w:firstLine="440"/>
        <w:spacing w:after="0" w:line="274" w:lineRule="auto"/>
        <w:tabs>
          <w:tab w:leader="none" w:pos="86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9"/>
          <w:szCs w:val="19"/>
          <w:u w:val="single" w:color="auto"/>
          <w:color w:val="auto"/>
        </w:rPr>
        <w:t>Section 4(o)</w:t>
      </w:r>
      <w:r>
        <w:rPr>
          <w:rFonts w:ascii="Arial" w:cs="Arial" w:eastAsia="Arial" w:hAnsi="Arial"/>
          <w:sz w:val="19"/>
          <w:szCs w:val="19"/>
          <w:color w:val="auto"/>
        </w:rPr>
        <w:t xml:space="preserve">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58" w:lineRule="exact"/>
        <w:rPr>
          <w:rFonts w:ascii="Arial" w:cs="Arial" w:eastAsia="Arial" w:hAnsi="Arial"/>
          <w:sz w:val="19"/>
          <w:szCs w:val="19"/>
          <w:color w:val="auto"/>
        </w:rPr>
      </w:pPr>
    </w:p>
    <w:p>
      <w:pPr>
        <w:jc w:val="both"/>
        <w:ind w:firstLine="757"/>
        <w:spacing w:after="0"/>
        <w:tabs>
          <w:tab w:leader="none" w:pos="1525"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86" w:lineRule="exact"/>
        <w:rPr>
          <w:sz w:val="20"/>
          <w:szCs w:val="20"/>
          <w:color w:val="auto"/>
        </w:rPr>
      </w:pPr>
    </w:p>
    <w:p>
      <w:pPr>
        <w:jc w:val="both"/>
        <w:ind w:firstLine="757"/>
        <w:spacing w:after="0"/>
        <w:tabs>
          <w:tab w:leader="none" w:pos="149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86" w:lineRule="exact"/>
        <w:rPr>
          <w:rFonts w:ascii="Arial" w:cs="Arial" w:eastAsia="Arial" w:hAnsi="Arial"/>
          <w:sz w:val="22"/>
          <w:szCs w:val="22"/>
          <w:color w:val="auto"/>
        </w:rPr>
      </w:pPr>
    </w:p>
    <w:p>
      <w:pPr>
        <w:jc w:val="both"/>
        <w:ind w:firstLine="757"/>
        <w:spacing w:after="0" w:line="245" w:lineRule="auto"/>
        <w:tabs>
          <w:tab w:leader="none" w:pos="1511"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Market Activities</w:t>
      </w:r>
      <w:r>
        <w:rPr>
          <w:rFonts w:ascii="Arial" w:cs="Arial" w:eastAsia="Arial" w:hAnsi="Arial"/>
          <w:sz w:val="21"/>
          <w:szCs w:val="21"/>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controlled affiliates to, comply with all applicable provisions of Regulation M. If the limitations of Rule 102 of Regulation M (“</w:t>
      </w:r>
      <w:r>
        <w:rPr>
          <w:rFonts w:ascii="Arial" w:cs="Arial" w:eastAsia="Arial" w:hAnsi="Arial"/>
          <w:sz w:val="21"/>
          <w:szCs w:val="21"/>
          <w:b w:val="1"/>
          <w:bCs w:val="1"/>
          <w:color w:val="auto"/>
        </w:rPr>
        <w:t>Rule 102</w:t>
      </w:r>
      <w:r>
        <w:rPr>
          <w:rFonts w:ascii="Arial" w:cs="Arial" w:eastAsia="Arial" w:hAnsi="Arial"/>
          <w:sz w:val="21"/>
          <w:szCs w:val="21"/>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controlled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4" w:lineRule="exact"/>
        <w:rPr>
          <w:rFonts w:ascii="Arial" w:cs="Arial" w:eastAsia="Arial" w:hAnsi="Arial"/>
          <w:sz w:val="21"/>
          <w:szCs w:val="21"/>
          <w:color w:val="auto"/>
        </w:rPr>
      </w:pPr>
    </w:p>
    <w:p>
      <w:pPr>
        <w:jc w:val="both"/>
        <w:ind w:firstLine="757"/>
        <w:spacing w:after="0" w:line="235" w:lineRule="auto"/>
        <w:tabs>
          <w:tab w:leader="none" w:pos="1511"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Notice of Other Sale</w:t>
      </w:r>
      <w:r>
        <w:rPr>
          <w:rFonts w:ascii="Arial" w:cs="Arial" w:eastAsia="Arial" w:hAnsi="Arial"/>
          <w:sz w:val="22"/>
          <w:szCs w:val="22"/>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jc w:val="both"/>
        <w:spacing w:after="0" w:line="270" w:lineRule="auto"/>
        <w:rPr>
          <w:sz w:val="20"/>
          <w:szCs w:val="20"/>
          <w:color w:val="auto"/>
        </w:rPr>
      </w:pPr>
      <w:r>
        <w:rPr>
          <w:rFonts w:ascii="Arial" w:cs="Arial" w:eastAsia="Arial" w:hAnsi="Arial"/>
          <w:sz w:val="19"/>
          <w:szCs w:val="19"/>
          <w:color w:val="auto"/>
        </w:rPr>
        <w:t>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as in effect on the date of this Agreement, (ii) issuance or sale of Common Shares issuable upon exchange, conversion or redemption of securities or the exercise or vesting of warrants, options or other equity awards outstanding at the date of this Agreement, (iii) issuance or sale, in an amount not to exceed 7.5% of the total outstanding shares of Common Stock, of Common Shares or securities convertible into or exchangeable for Common Shares in connection with any strategic transaction including any joint venture, or any manufacturing, marketing, sponsored research, collaboration, license or distribution arrangement which transaction as a whole is not entered into primarily for capital raising purposes, (iv) issuance or sale, in an amount not to exceed 7.5% of the total outstanding shares of Common Stock, of Common Shares or securities convertible into or exchangeable for Common Shares as consideration for any merger, acquisition, other business combination, joint venture or strategic alliance occurring after the date of this Agreement which transaction as a whole is not entered into primarily for capital raising purposes, and (v) modification of any outstanding options, warrants of any rights to purchase or acquire Common Shares. Notwithstanding the foregoing provisions, nothing herein shall be construed to restrict the Company’s ability, or require the Company to provide notice to the Agent, to file a registration statement under the Securities Act.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5.CONDITIONS TO DELIVERY OF ISSUANCE NOTICES AND TO SETTLEMENT</w:t>
      </w:r>
    </w:p>
    <w:p>
      <w:pPr>
        <w:spacing w:after="0" w:line="212" w:lineRule="exact"/>
        <w:rPr>
          <w:sz w:val="20"/>
          <w:szCs w:val="20"/>
          <w:color w:val="auto"/>
        </w:rPr>
      </w:pPr>
    </w:p>
    <w:p>
      <w:pPr>
        <w:jc w:val="both"/>
        <w:ind w:firstLine="757"/>
        <w:spacing w:after="0" w:line="249" w:lineRule="auto"/>
        <w:tabs>
          <w:tab w:leader="none" w:pos="1525"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Conditions Precedent to the Right of the Company to Deliver an Issuance Notice and the Obligation of 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8" w:lineRule="exact"/>
        <w:rPr>
          <w:rFonts w:ascii="Arial" w:cs="Arial" w:eastAsia="Arial" w:hAnsi="Arial"/>
          <w:sz w:val="21"/>
          <w:szCs w:val="21"/>
          <w:color w:val="auto"/>
        </w:rPr>
      </w:pPr>
    </w:p>
    <w:p>
      <w:pPr>
        <w:ind w:left="1500" w:hanging="690"/>
        <w:spacing w:after="0" w:line="248" w:lineRule="auto"/>
        <w:tabs>
          <w:tab w:leader="none" w:pos="1250"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Accuracy of the Company’s Representations and Warranties; Performance by the Company</w:t>
      </w:r>
      <w:r>
        <w:rPr>
          <w:rFonts w:ascii="Arial" w:cs="Arial" w:eastAsia="Arial" w:hAnsi="Arial"/>
          <w:sz w:val="21"/>
          <w:szCs w:val="21"/>
          <w:color w:val="auto"/>
        </w:rPr>
        <w:t xml:space="preserve">. The Company shall have delivered the certificate required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21"/>
          <w:szCs w:val="21"/>
          <w:u w:val="single" w:color="auto"/>
          <w:color w:val="auto"/>
        </w:rPr>
        <w:t>Section 4(p)</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4(q)</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4(r)</w:t>
      </w:r>
      <w:r>
        <w:rPr>
          <w:rFonts w:ascii="Arial" w:cs="Arial" w:eastAsia="Arial" w:hAnsi="Arial"/>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ind w:left="1500" w:hanging="690"/>
        <w:spacing w:after="0" w:line="248" w:lineRule="auto"/>
        <w:tabs>
          <w:tab w:leader="none" w:pos="1250"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No Injunction</w:t>
      </w:r>
      <w:r>
        <w:rPr>
          <w:rFonts w:ascii="Arial" w:cs="Arial" w:eastAsia="Arial" w:hAnsi="Arial"/>
          <w:sz w:val="21"/>
          <w:szCs w:val="21"/>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7" w:lineRule="exact"/>
        <w:rPr>
          <w:rFonts w:ascii="Arial" w:cs="Arial" w:eastAsia="Arial" w:hAnsi="Arial"/>
          <w:sz w:val="21"/>
          <w:szCs w:val="21"/>
          <w:color w:val="auto"/>
        </w:rPr>
      </w:pPr>
    </w:p>
    <w:p>
      <w:pPr>
        <w:ind w:left="1500" w:hanging="690"/>
        <w:spacing w:after="0" w:line="279" w:lineRule="auto"/>
        <w:tabs>
          <w:tab w:leader="none" w:pos="1264"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Material Adverse Changes</w:t>
      </w:r>
      <w:r>
        <w:rPr>
          <w:rFonts w:ascii="Arial" w:cs="Arial" w:eastAsia="Arial" w:hAnsi="Arial"/>
          <w:sz w:val="19"/>
          <w:szCs w:val="19"/>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150" w:lineRule="exact"/>
        <w:rPr>
          <w:rFonts w:ascii="Arial" w:cs="Arial" w:eastAsia="Arial" w:hAnsi="Arial"/>
          <w:sz w:val="19"/>
          <w:szCs w:val="19"/>
          <w:color w:val="auto"/>
        </w:rPr>
      </w:pPr>
    </w:p>
    <w:p>
      <w:pPr>
        <w:ind w:left="1500" w:hanging="690"/>
        <w:spacing w:after="0" w:line="271" w:lineRule="auto"/>
        <w:tabs>
          <w:tab w:leader="none" w:pos="1250"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Common Shares; Other Events</w:t>
      </w:r>
      <w:r>
        <w:rPr>
          <w:rFonts w:ascii="Arial" w:cs="Arial" w:eastAsia="Arial" w:hAnsi="Arial"/>
          <w:sz w:val="19"/>
          <w:szCs w:val="19"/>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757"/>
        <w:spacing w:after="0" w:line="249" w:lineRule="auto"/>
        <w:tabs>
          <w:tab w:leader="none" w:pos="155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Documents Required to be Delivered on each Issuance Notice Date</w:t>
      </w:r>
      <w:r>
        <w:rPr>
          <w:rFonts w:ascii="Arial" w:cs="Arial" w:eastAsia="Arial" w:hAnsi="Arial"/>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(which certificate shall not be required if the foregoing representations shall be set forth in the Issuance Notice).</w:t>
      </w:r>
    </w:p>
    <w:p>
      <w:pPr>
        <w:spacing w:after="0" w:line="207" w:lineRule="exact"/>
        <w:rPr>
          <w:sz w:val="20"/>
          <w:szCs w:val="20"/>
          <w:color w:val="auto"/>
        </w:rPr>
      </w:pPr>
    </w:p>
    <w:p>
      <w:pPr>
        <w:jc w:val="both"/>
        <w:ind w:firstLine="757"/>
        <w:spacing w:after="0" w:line="287" w:lineRule="auto"/>
        <w:tabs>
          <w:tab w:leader="none" w:pos="151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6.INDEMNIFICATION AND CONTRIBUTION</w:t>
      </w:r>
    </w:p>
    <w:p>
      <w:pPr>
        <w:spacing w:after="0" w:line="212" w:lineRule="exact"/>
        <w:rPr>
          <w:sz w:val="20"/>
          <w:szCs w:val="20"/>
          <w:color w:val="auto"/>
        </w:rPr>
      </w:pPr>
    </w:p>
    <w:p>
      <w:pPr>
        <w:jc w:val="both"/>
        <w:ind w:firstLine="757"/>
        <w:spacing w:after="0" w:line="269" w:lineRule="auto"/>
        <w:tabs>
          <w:tab w:leader="none" w:pos="149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Indemnification of the Agent</w:t>
      </w:r>
      <w:r>
        <w:rPr>
          <w:rFonts w:ascii="Arial" w:cs="Arial" w:eastAsia="Arial" w:hAnsi="Arial"/>
          <w:sz w:val="19"/>
          <w:szCs w:val="19"/>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line="329" w:lineRule="auto"/>
        <w:rPr>
          <w:sz w:val="20"/>
          <w:szCs w:val="20"/>
          <w:color w:val="auto"/>
        </w:rPr>
      </w:pPr>
      <w:r>
        <w:rPr>
          <w:rFonts w:ascii="Arial" w:cs="Arial" w:eastAsia="Arial" w:hAnsi="Arial"/>
          <w:sz w:val="19"/>
          <w:szCs w:val="19"/>
          <w:color w:val="auto"/>
        </w:rPr>
        <w:t xml:space="preserve">information furnished by the Agent to the Company consists of the information described in subsection (b) below. The indemnity agreement set forth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be in addition to any liabilities that the Company may otherwise have.</w:t>
      </w:r>
    </w:p>
    <w:p>
      <w:pPr>
        <w:spacing w:after="0" w:line="104" w:lineRule="exact"/>
        <w:rPr>
          <w:sz w:val="20"/>
          <w:szCs w:val="20"/>
          <w:color w:val="auto"/>
        </w:rPr>
      </w:pPr>
    </w:p>
    <w:p>
      <w:pPr>
        <w:jc w:val="both"/>
        <w:ind w:firstLine="757"/>
        <w:spacing w:after="0" w:line="269" w:lineRule="auto"/>
        <w:tabs>
          <w:tab w:leader="none" w:pos="149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Indemnification of the Company, its Directors and Officers</w:t>
      </w:r>
      <w:r>
        <w:rPr>
          <w:rFonts w:ascii="Arial" w:cs="Arial" w:eastAsia="Arial" w:hAnsi="Arial"/>
          <w:sz w:val="19"/>
          <w:szCs w:val="19"/>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shall be in addition to any liabilities that the Agent or the Company may otherwise have.</w:t>
      </w:r>
    </w:p>
    <w:p>
      <w:pPr>
        <w:spacing w:after="0" w:line="170" w:lineRule="exact"/>
        <w:rPr>
          <w:rFonts w:ascii="Arial" w:cs="Arial" w:eastAsia="Arial" w:hAnsi="Arial"/>
          <w:sz w:val="19"/>
          <w:szCs w:val="19"/>
          <w:color w:val="auto"/>
        </w:rPr>
      </w:pPr>
    </w:p>
    <w:p>
      <w:pPr>
        <w:jc w:val="both"/>
        <w:ind w:firstLine="757"/>
        <w:spacing w:after="0" w:line="275" w:lineRule="auto"/>
        <w:tabs>
          <w:tab w:leader="none" w:pos="149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xml:space="preserve">. Promptly after receipt by an indemnified party under this Section 6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5143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both"/>
        <w:spacing w:after="0" w:line="270" w:lineRule="auto"/>
        <w:rPr>
          <w:sz w:val="20"/>
          <w:szCs w:val="20"/>
          <w:color w:val="auto"/>
        </w:rPr>
      </w:pPr>
      <w:r>
        <w:rPr>
          <w:rFonts w:ascii="Arial" w:cs="Arial" w:eastAsia="Arial" w:hAnsi="Arial"/>
          <w:sz w:val="19"/>
          <w:szCs w:val="19"/>
          <w:color w:val="auto"/>
        </w:rPr>
        <w:t xml:space="preserve">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Section 6(a) and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6667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386" w:lineRule="exact"/>
        <w:rPr>
          <w:sz w:val="20"/>
          <w:szCs w:val="20"/>
          <w:color w:val="auto"/>
        </w:rPr>
      </w:pPr>
    </w:p>
    <w:p>
      <w:pPr>
        <w:jc w:val="both"/>
        <w:ind w:firstLine="757"/>
        <w:spacing w:after="0" w:line="272" w:lineRule="auto"/>
        <w:tabs>
          <w:tab w:leader="none" w:pos="1538"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Settlements</w:t>
      </w:r>
      <w:r>
        <w:rPr>
          <w:rFonts w:ascii="Arial" w:cs="Arial" w:eastAsia="Arial" w:hAnsi="Arial"/>
          <w:sz w:val="19"/>
          <w:szCs w:val="19"/>
          <w:color w:val="auto"/>
        </w:rPr>
        <w:t xml:space="preserve">.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55" w:lineRule="exact"/>
        <w:rPr>
          <w:rFonts w:ascii="Arial" w:cs="Arial" w:eastAsia="Arial" w:hAnsi="Arial"/>
          <w:sz w:val="19"/>
          <w:szCs w:val="19"/>
          <w:color w:val="auto"/>
        </w:rPr>
      </w:pPr>
    </w:p>
    <w:p>
      <w:pPr>
        <w:ind w:right="20" w:firstLine="757"/>
        <w:spacing w:after="0" w:line="250"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If the indemnification provided for in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is for any reason held to be unavailable to or otherwise insufficient to hold harmless an indemnified party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-2334895</wp:posOffset>
            </wp:positionV>
            <wp:extent cx="5397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both"/>
        <w:spacing w:after="0" w:line="271" w:lineRule="auto"/>
        <w:rPr>
          <w:sz w:val="20"/>
          <w:szCs w:val="20"/>
          <w:color w:val="auto"/>
        </w:rPr>
      </w:pPr>
      <w:r>
        <w:rPr>
          <w:rFonts w:ascii="Arial" w:cs="Arial" w:eastAsia="Arial" w:hAnsi="Arial"/>
          <w:sz w:val="19"/>
          <w:szCs w:val="19"/>
          <w:color w:val="auto"/>
        </w:rPr>
        <w:t>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61"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with respect to notice of commencement of any action shall apply if a claim for contribution is to be made under this </w:t>
      </w:r>
      <w:r>
        <w:rPr>
          <w:rFonts w:ascii="Arial" w:cs="Arial" w:eastAsia="Arial" w:hAnsi="Arial"/>
          <w:sz w:val="21"/>
          <w:szCs w:val="21"/>
          <w:u w:val="single" w:color="auto"/>
          <w:color w:val="auto"/>
        </w:rPr>
        <w:t>Section 6(e)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additional notice shall be required with respect to any action for which notice has been given under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for purposes of indemnification.</w:t>
      </w:r>
    </w:p>
    <w:p>
      <w:pPr>
        <w:spacing w:after="0" w:line="177" w:lineRule="exact"/>
        <w:rPr>
          <w:sz w:val="20"/>
          <w:szCs w:val="20"/>
          <w:color w:val="auto"/>
        </w:rPr>
      </w:pPr>
    </w:p>
    <w:p>
      <w:pPr>
        <w:ind w:right="220" w:firstLine="432"/>
        <w:spacing w:after="0"/>
        <w:rPr>
          <w:sz w:val="20"/>
          <w:szCs w:val="20"/>
          <w:color w:val="auto"/>
        </w:rPr>
      </w:pPr>
      <w:r>
        <w:rPr>
          <w:rFonts w:ascii="Arial" w:cs="Arial" w:eastAsia="Arial" w:hAnsi="Arial"/>
          <w:sz w:val="22"/>
          <w:szCs w:val="22"/>
          <w:color w:val="auto"/>
        </w:rPr>
        <w:t xml:space="preserve">The Company and the Agent agree that it would not be just and equitable if contribution pursuant to this </w:t>
      </w:r>
      <w:r>
        <w:rPr>
          <w:rFonts w:ascii="Arial" w:cs="Arial" w:eastAsia="Arial" w:hAnsi="Arial"/>
          <w:sz w:val="22"/>
          <w:szCs w:val="22"/>
          <w:u w:val="single" w:color="auto"/>
          <w:color w:val="auto"/>
        </w:rPr>
        <w:t>Section 6(e)</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in this </w:t>
      </w:r>
      <w:r>
        <w:rPr>
          <w:rFonts w:ascii="Arial" w:cs="Arial" w:eastAsia="Arial" w:hAnsi="Arial"/>
          <w:sz w:val="22"/>
          <w:szCs w:val="22"/>
          <w:u w:val="single" w:color="auto"/>
          <w:color w:val="auto"/>
        </w:rPr>
        <w:t>Section 6(e)</w:t>
      </w:r>
      <w:r>
        <w:rPr>
          <w:rFonts w:ascii="Arial" w:cs="Arial" w:eastAsia="Arial" w:hAnsi="Arial"/>
          <w:sz w:val="22"/>
          <w:szCs w:val="22"/>
          <w:color w:val="auto"/>
        </w:rPr>
        <w:t>.</w:t>
      </w:r>
    </w:p>
    <w:p>
      <w:pPr>
        <w:spacing w:after="0" w:line="18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9"/>
          <w:szCs w:val="19"/>
          <w:color w:val="auto"/>
        </w:rPr>
        <w:t xml:space="preserve">Notwithstanding the provisions of this </w:t>
      </w:r>
      <w:r>
        <w:rPr>
          <w:rFonts w:ascii="Arial" w:cs="Arial" w:eastAsia="Arial" w:hAnsi="Arial"/>
          <w:sz w:val="19"/>
          <w:szCs w:val="19"/>
          <w:u w:val="single" w:color="auto"/>
          <w:color w:val="auto"/>
        </w:rPr>
        <w:t>Section 6(e)</w:t>
      </w:r>
      <w:r>
        <w:rPr>
          <w:rFonts w:ascii="Arial" w:cs="Arial" w:eastAsia="Arial" w:hAnsi="Arial"/>
          <w:sz w:val="19"/>
          <w:szCs w:val="19"/>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9"/>
          <w:szCs w:val="19"/>
          <w:u w:val="single" w:color="auto"/>
          <w:color w:val="auto"/>
        </w:rPr>
        <w:t>Section 6(e)</w:t>
      </w:r>
      <w:r>
        <w:rPr>
          <w:rFonts w:ascii="Arial" w:cs="Arial" w:eastAsia="Arial" w:hAnsi="Arial"/>
          <w:sz w:val="19"/>
          <w:szCs w:val="19"/>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b w:val="1"/>
          <w:bCs w:val="1"/>
          <w:color w:val="auto"/>
        </w:rPr>
        <w:t>Section 7.TERMINATION &amp; SURVIVAL</w:t>
      </w:r>
    </w:p>
    <w:p>
      <w:pPr>
        <w:spacing w:after="0" w:line="213" w:lineRule="exact"/>
        <w:rPr>
          <w:sz w:val="20"/>
          <w:szCs w:val="20"/>
          <w:color w:val="auto"/>
        </w:rPr>
      </w:pPr>
    </w:p>
    <w:p>
      <w:pPr>
        <w:jc w:val="both"/>
        <w:ind w:firstLine="757"/>
        <w:spacing w:after="0"/>
        <w:tabs>
          <w:tab w:leader="none" w:pos="1498"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Termination; Survival Following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500" w:hanging="369"/>
        <w:spacing w:after="0" w:line="234" w:lineRule="auto"/>
        <w:tabs>
          <w:tab w:leader="none" w:pos="1558"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22"/>
          <w:szCs w:val="22"/>
          <w:u w:val="single" w:color="auto"/>
          <w:color w:val="auto"/>
        </w:rPr>
        <w:t>Section 3(b)(v)</w:t>
      </w:r>
      <w:r>
        <w:rPr>
          <w:rFonts w:ascii="Arial" w:cs="Arial" w:eastAsia="Arial" w:hAnsi="Arial"/>
          <w:sz w:val="22"/>
          <w:szCs w:val="22"/>
          <w:color w:val="auto"/>
        </w:rPr>
        <w:t xml:space="preserve"> with respect to such Shares and (B)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Section 7 and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90" w:lineRule="exact"/>
        <w:rPr>
          <w:rFonts w:ascii="Arial" w:cs="Arial" w:eastAsia="Arial" w:hAnsi="Arial"/>
          <w:sz w:val="22"/>
          <w:szCs w:val="22"/>
          <w:color w:val="auto"/>
        </w:rPr>
      </w:pPr>
    </w:p>
    <w:p>
      <w:pPr>
        <w:jc w:val="both"/>
        <w:ind w:left="1500" w:hanging="369"/>
        <w:spacing w:after="0" w:line="279" w:lineRule="auto"/>
        <w:tabs>
          <w:tab w:leader="none" w:pos="145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In addition to the survival provision of </w:t>
      </w:r>
      <w:r>
        <w:rPr>
          <w:rFonts w:ascii="Arial" w:cs="Arial" w:eastAsia="Arial" w:hAnsi="Arial"/>
          <w:sz w:val="19"/>
          <w:szCs w:val="19"/>
          <w:u w:val="single" w:color="auto"/>
          <w:color w:val="auto"/>
        </w:rPr>
        <w:t>Section 7(b)(i)</w:t>
      </w:r>
      <w:r>
        <w:rPr>
          <w:rFonts w:ascii="Arial" w:cs="Arial" w:eastAsia="Arial" w:hAnsi="Arial"/>
          <w:sz w:val="19"/>
          <w:szCs w:val="19"/>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-1424940</wp:posOffset>
            </wp:positionV>
            <wp:extent cx="5314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8.MISCELLANEOUS</w:t>
      </w:r>
    </w:p>
    <w:p>
      <w:pPr>
        <w:spacing w:after="0" w:line="212" w:lineRule="exact"/>
        <w:rPr>
          <w:sz w:val="20"/>
          <w:szCs w:val="20"/>
          <w:color w:val="auto"/>
        </w:rPr>
      </w:pPr>
    </w:p>
    <w:p>
      <w:pPr>
        <w:jc w:val="both"/>
        <w:ind w:firstLine="757"/>
        <w:spacing w:after="0" w:line="245" w:lineRule="exact"/>
        <w:tabs>
          <w:tab w:leader="none" w:pos="1511"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Press Releases and Disclosure</w:t>
      </w:r>
      <w:r>
        <w:rPr>
          <w:rFonts w:ascii="Arial" w:cs="Arial" w:eastAsia="Arial" w:hAnsi="Arial"/>
          <w:sz w:val="19"/>
          <w:szCs w:val="19"/>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19"/>
          <w:szCs w:val="19"/>
          <w:color w:val="auto"/>
        </w:rPr>
        <w:t>‑</w:t>
      </w:r>
      <w:r>
        <w:rPr>
          <w:rFonts w:ascii="Arial" w:cs="Arial" w:eastAsia="Arial" w:hAnsi="Arial"/>
          <w:sz w:val="19"/>
          <w:szCs w:val="19"/>
          <w:color w:val="auto"/>
        </w:rPr>
        <w:t>K or an Annual Report on Form 10-K,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(such approval not to be unreasonably withheld or delayed),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commercially reasonable efforts, acting in good faith, to agree upon a text for such disclosure that is reasonably satisfactory to all parties hereto; provided, however, that nothing contained herein shall be construed to restrict the Company from making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disclosures that, in the opinion of the Company’s legal counsel, are required pursuant to applicable law or stock exchange rules.</w:t>
      </w:r>
    </w:p>
    <w:p>
      <w:pPr>
        <w:spacing w:after="0" w:line="241" w:lineRule="exact"/>
        <w:rPr>
          <w:sz w:val="20"/>
          <w:szCs w:val="20"/>
          <w:color w:val="auto"/>
        </w:rPr>
      </w:pPr>
    </w:p>
    <w:p>
      <w:pPr>
        <w:jc w:val="both"/>
        <w:ind w:firstLine="757"/>
        <w:spacing w:after="0" w:line="273" w:lineRule="auto"/>
        <w:tabs>
          <w:tab w:leader="none" w:pos="1538"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5" w:lineRule="exact"/>
        <w:rPr>
          <w:rFonts w:ascii="Arial" w:cs="Arial" w:eastAsia="Arial" w:hAnsi="Arial"/>
          <w:sz w:val="19"/>
          <w:szCs w:val="19"/>
          <w:color w:val="auto"/>
        </w:rPr>
      </w:pPr>
    </w:p>
    <w:p>
      <w:pPr>
        <w:jc w:val="both"/>
        <w:ind w:firstLine="757"/>
        <w:spacing w:after="0" w:line="246" w:lineRule="auto"/>
        <w:tabs>
          <w:tab w:leader="none" w:pos="1511"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9" w:lineRule="exact"/>
        <w:rPr>
          <w:rFonts w:ascii="Arial" w:cs="Arial" w:eastAsia="Arial" w:hAnsi="Arial"/>
          <w:sz w:val="21"/>
          <w:szCs w:val="21"/>
          <w:color w:val="auto"/>
        </w:rPr>
      </w:pPr>
    </w:p>
    <w:p>
      <w:pPr>
        <w:ind w:firstLine="757"/>
        <w:spacing w:after="0" w:line="250" w:lineRule="auto"/>
        <w:tabs>
          <w:tab w:leader="none" w:pos="1511"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If to the Agent:</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Jefferies LLC</w:t>
      </w:r>
    </w:p>
    <w:p>
      <w:pPr>
        <w:ind w:left="1140"/>
        <w:spacing w:after="0" w:line="238" w:lineRule="auto"/>
        <w:rPr>
          <w:sz w:val="20"/>
          <w:szCs w:val="20"/>
          <w:color w:val="auto"/>
        </w:rPr>
      </w:pPr>
      <w:r>
        <w:rPr>
          <w:rFonts w:ascii="Arial" w:cs="Arial" w:eastAsia="Arial" w:hAnsi="Arial"/>
          <w:sz w:val="22"/>
          <w:szCs w:val="22"/>
          <w:color w:val="auto"/>
        </w:rPr>
        <w:t>520 Madison Avenue</w:t>
      </w:r>
    </w:p>
    <w:p>
      <w:pPr>
        <w:ind w:left="114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Latham &amp; Watkins LLP</w:t>
      </w:r>
    </w:p>
    <w:p>
      <w:pPr>
        <w:ind w:left="1140"/>
        <w:spacing w:after="0" w:line="238" w:lineRule="auto"/>
        <w:rPr>
          <w:sz w:val="20"/>
          <w:szCs w:val="20"/>
          <w:color w:val="auto"/>
        </w:rPr>
      </w:pPr>
      <w:r>
        <w:rPr>
          <w:rFonts w:ascii="Arial" w:cs="Arial" w:eastAsia="Arial" w:hAnsi="Arial"/>
          <w:sz w:val="22"/>
          <w:szCs w:val="22"/>
          <w:color w:val="auto"/>
        </w:rPr>
        <w:t>140 Scott Drive</w:t>
      </w:r>
    </w:p>
    <w:p>
      <w:pPr>
        <w:ind w:left="1140"/>
        <w:spacing w:after="0" w:line="230" w:lineRule="auto"/>
        <w:rPr>
          <w:sz w:val="20"/>
          <w:szCs w:val="20"/>
          <w:color w:val="auto"/>
        </w:rPr>
      </w:pPr>
      <w:r>
        <w:rPr>
          <w:rFonts w:ascii="Arial" w:cs="Arial" w:eastAsia="Arial" w:hAnsi="Arial"/>
          <w:sz w:val="22"/>
          <w:szCs w:val="22"/>
          <w:color w:val="auto"/>
        </w:rPr>
        <w:t>Menlo Park, CA 94025</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Attention: Brian Cuneo and Drew Capurro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ind w:left="380"/>
        <w:spacing w:after="0"/>
        <w:rPr>
          <w:sz w:val="20"/>
          <w:szCs w:val="20"/>
          <w:color w:val="auto"/>
        </w:rPr>
      </w:pPr>
      <w:r>
        <w:rPr>
          <w:rFonts w:ascii="Arial" w:cs="Arial" w:eastAsia="Arial" w:hAnsi="Arial"/>
          <w:sz w:val="22"/>
          <w:szCs w:val="22"/>
          <w:color w:val="auto"/>
        </w:rPr>
        <w:t>If to the Company:</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Spruce Biosciences, Inc.</w:t>
      </w:r>
    </w:p>
    <w:p>
      <w:pPr>
        <w:ind w:left="1140"/>
        <w:spacing w:after="0" w:line="238" w:lineRule="auto"/>
        <w:rPr>
          <w:sz w:val="20"/>
          <w:szCs w:val="20"/>
          <w:color w:val="auto"/>
        </w:rPr>
      </w:pPr>
      <w:r>
        <w:rPr>
          <w:rFonts w:ascii="Arial" w:cs="Arial" w:eastAsia="Arial" w:hAnsi="Arial"/>
          <w:sz w:val="22"/>
          <w:szCs w:val="22"/>
          <w:color w:val="auto"/>
        </w:rPr>
        <w:t>2001 Junipero Serra Boulevard,</w:t>
      </w:r>
    </w:p>
    <w:p>
      <w:pPr>
        <w:ind w:left="1140"/>
        <w:spacing w:after="0" w:line="230" w:lineRule="auto"/>
        <w:rPr>
          <w:sz w:val="20"/>
          <w:szCs w:val="20"/>
          <w:color w:val="auto"/>
        </w:rPr>
      </w:pPr>
      <w:r>
        <w:rPr>
          <w:rFonts w:ascii="Arial" w:cs="Arial" w:eastAsia="Arial" w:hAnsi="Arial"/>
          <w:sz w:val="22"/>
          <w:szCs w:val="22"/>
          <w:color w:val="auto"/>
        </w:rPr>
        <w:t>Suite 640</w:t>
      </w:r>
    </w:p>
    <w:p>
      <w:pPr>
        <w:ind w:left="1140"/>
        <w:spacing w:after="0" w:line="231" w:lineRule="auto"/>
        <w:rPr>
          <w:sz w:val="20"/>
          <w:szCs w:val="20"/>
          <w:color w:val="auto"/>
        </w:rPr>
      </w:pPr>
      <w:r>
        <w:rPr>
          <w:rFonts w:ascii="Arial" w:cs="Arial" w:eastAsia="Arial" w:hAnsi="Arial"/>
          <w:sz w:val="22"/>
          <w:szCs w:val="22"/>
          <w:color w:val="auto"/>
        </w:rPr>
        <w:t>Daly City, CA 94014</w:t>
      </w:r>
    </w:p>
    <w:p>
      <w:pPr>
        <w:ind w:left="1140"/>
        <w:spacing w:after="0"/>
        <w:rPr>
          <w:sz w:val="20"/>
          <w:szCs w:val="20"/>
          <w:color w:val="auto"/>
        </w:rPr>
      </w:pPr>
      <w:r>
        <w:rPr>
          <w:rFonts w:ascii="Arial" w:cs="Arial" w:eastAsia="Arial" w:hAnsi="Arial"/>
          <w:sz w:val="22"/>
          <w:szCs w:val="22"/>
          <w:color w:val="auto"/>
        </w:rPr>
        <w:t>Attention: Chief Executive Officer</w:t>
      </w: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Cooley LLP</w:t>
      </w:r>
    </w:p>
    <w:p>
      <w:pPr>
        <w:ind w:left="1140"/>
        <w:spacing w:after="0" w:line="238" w:lineRule="auto"/>
        <w:rPr>
          <w:sz w:val="20"/>
          <w:szCs w:val="20"/>
          <w:color w:val="auto"/>
        </w:rPr>
      </w:pPr>
      <w:r>
        <w:rPr>
          <w:rFonts w:ascii="Arial" w:cs="Arial" w:eastAsia="Arial" w:hAnsi="Arial"/>
          <w:sz w:val="22"/>
          <w:szCs w:val="22"/>
          <w:color w:val="auto"/>
        </w:rPr>
        <w:t>4401 Eastgate Mall</w:t>
      </w:r>
    </w:p>
    <w:p>
      <w:pPr>
        <w:ind w:left="1140"/>
        <w:spacing w:after="0" w:line="230" w:lineRule="auto"/>
        <w:rPr>
          <w:sz w:val="20"/>
          <w:szCs w:val="20"/>
          <w:color w:val="auto"/>
        </w:rPr>
      </w:pPr>
      <w:r>
        <w:rPr>
          <w:rFonts w:ascii="Arial" w:cs="Arial" w:eastAsia="Arial" w:hAnsi="Arial"/>
          <w:sz w:val="22"/>
          <w:szCs w:val="22"/>
          <w:color w:val="auto"/>
        </w:rPr>
        <w:t>San Diego, CA 92121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Attention: Alexa Ekman</w:t>
      </w:r>
    </w:p>
    <w:p>
      <w:pPr>
        <w:spacing w:after="0" w:line="200" w:lineRule="exact"/>
        <w:rPr>
          <w:sz w:val="20"/>
          <w:szCs w:val="20"/>
          <w:color w:val="auto"/>
        </w:rPr>
      </w:pPr>
    </w:p>
    <w:p>
      <w:pPr>
        <w:spacing w:after="0" w:line="25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75" w:lineRule="exact"/>
        <w:rPr>
          <w:sz w:val="20"/>
          <w:szCs w:val="20"/>
          <w:color w:val="auto"/>
        </w:rPr>
      </w:pPr>
    </w:p>
    <w:p>
      <w:pPr>
        <w:jc w:val="both"/>
        <w:ind w:firstLine="757"/>
        <w:spacing w:after="0" w:line="252" w:lineRule="auto"/>
        <w:tabs>
          <w:tab w:leader="none" w:pos="1525"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73" w:lineRule="exact"/>
        <w:rPr>
          <w:rFonts w:ascii="Arial" w:cs="Arial" w:eastAsia="Arial" w:hAnsi="Arial"/>
          <w:sz w:val="21"/>
          <w:szCs w:val="21"/>
          <w:color w:val="auto"/>
        </w:rPr>
      </w:pPr>
    </w:p>
    <w:p>
      <w:pPr>
        <w:jc w:val="both"/>
        <w:ind w:firstLine="757"/>
        <w:spacing w:after="0" w:line="287" w:lineRule="auto"/>
        <w:tabs>
          <w:tab w:leader="none" w:pos="1511"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2"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9"/>
          <w:szCs w:val="19"/>
          <w:b w:val="1"/>
          <w:bCs w:val="1"/>
          <w:color w:val="auto"/>
        </w:rPr>
        <w:t>Related Proceedings</w:t>
      </w:r>
      <w:r>
        <w:rPr>
          <w:rFonts w:ascii="Arial" w:cs="Arial" w:eastAsia="Arial" w:hAnsi="Arial"/>
          <w:sz w:val="19"/>
          <w:szCs w:val="19"/>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 “</w:t>
      </w:r>
      <w:r>
        <w:rPr>
          <w:rFonts w:ascii="Arial" w:cs="Arial" w:eastAsia="Arial" w:hAnsi="Arial"/>
          <w:sz w:val="19"/>
          <w:szCs w:val="19"/>
          <w:b w:val="1"/>
          <w:bCs w:val="1"/>
          <w:color w:val="auto"/>
        </w:rPr>
        <w:t>Related Judgment</w:t>
      </w:r>
      <w:r>
        <w:rPr>
          <w:rFonts w:ascii="Arial" w:cs="Arial" w:eastAsia="Arial" w:hAnsi="Arial"/>
          <w:sz w:val="19"/>
          <w:szCs w:val="19"/>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line="251" w:lineRule="auto"/>
        <w:rPr>
          <w:sz w:val="20"/>
          <w:szCs w:val="20"/>
          <w:color w:val="auto"/>
        </w:rPr>
      </w:pPr>
      <w:r>
        <w:rPr>
          <w:rFonts w:ascii="Arial" w:cs="Arial" w:eastAsia="Arial" w:hAnsi="Arial"/>
          <w:sz w:val="22"/>
          <w:szCs w:val="22"/>
          <w:color w:val="auto"/>
        </w:rPr>
        <w:t>agree not to plead or claim in any such court that any such suit, action or other proceeding brought in any such court has been brought in an inconvenient forum.</w:t>
      </w:r>
    </w:p>
    <w:p>
      <w:pPr>
        <w:spacing w:after="0" w:line="174" w:lineRule="exact"/>
        <w:rPr>
          <w:sz w:val="20"/>
          <w:szCs w:val="20"/>
          <w:color w:val="auto"/>
        </w:rPr>
      </w:pPr>
    </w:p>
    <w:p>
      <w:pPr>
        <w:jc w:val="both"/>
        <w:ind w:firstLine="757"/>
        <w:spacing w:after="0" w:line="245" w:lineRule="auto"/>
        <w:tabs>
          <w:tab w:leader="none" w:pos="1525"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electronic mail (including any electronic signature covered by the U.S. federal ESIGN Act of 2000, Uniform Electronic Transactions Act, the Electronic Signatures and Records Act or other applicable law, e.g., www.docusign.com) or other transmission method.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Immediately Follows]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both"/>
        <w:ind w:firstLine="749"/>
        <w:spacing w:after="0" w:line="241"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SPRUCE BIOSCIENCES, INC.</w:t>
      </w:r>
    </w:p>
    <w:p>
      <w:pPr>
        <w:spacing w:after="0" w:line="210" w:lineRule="exact"/>
        <w:rPr>
          <w:sz w:val="20"/>
          <w:szCs w:val="20"/>
          <w:color w:val="auto"/>
        </w:rPr>
      </w:pPr>
    </w:p>
    <w:tbl>
      <w:tblPr>
        <w:tblLayout w:type="fixed"/>
        <w:tblInd w:w="52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3080" w:type="dxa"/>
            <w:vAlign w:val="bottom"/>
            <w:tcBorders>
              <w:bottom w:val="single" w:sz="8" w:color="auto"/>
            </w:tcBorders>
          </w:tcPr>
          <w:p>
            <w:pPr>
              <w:jc w:val="right"/>
              <w:ind w:right="1052"/>
              <w:spacing w:after="0"/>
              <w:rPr>
                <w:sz w:val="20"/>
                <w:szCs w:val="20"/>
                <w:color w:val="auto"/>
              </w:rPr>
            </w:pPr>
            <w:r>
              <w:rPr>
                <w:rFonts w:ascii="Arial" w:cs="Arial" w:eastAsia="Arial" w:hAnsi="Arial"/>
                <w:sz w:val="22"/>
                <w:szCs w:val="22"/>
                <w:color w:val="auto"/>
              </w:rPr>
              <w:t>/s/ Samir Gharib</w:t>
            </w:r>
          </w:p>
        </w:tc>
      </w:tr>
      <w:tr>
        <w:trPr>
          <w:trHeight w:val="242"/>
        </w:trPr>
        <w:tc>
          <w:tcPr>
            <w:tcW w:w="380" w:type="dxa"/>
            <w:vAlign w:val="bottom"/>
          </w:tcPr>
          <w:p>
            <w:pPr>
              <w:spacing w:after="0"/>
              <w:rPr>
                <w:sz w:val="21"/>
                <w:szCs w:val="21"/>
                <w:color w:val="auto"/>
              </w:rPr>
            </w:pPr>
          </w:p>
        </w:tc>
        <w:tc>
          <w:tcPr>
            <w:tcW w:w="3080" w:type="dxa"/>
            <w:vAlign w:val="bottom"/>
          </w:tcPr>
          <w:p>
            <w:pPr>
              <w:jc w:val="right"/>
              <w:ind w:right="1052"/>
              <w:spacing w:after="0" w:line="242" w:lineRule="exact"/>
              <w:rPr>
                <w:sz w:val="20"/>
                <w:szCs w:val="20"/>
                <w:color w:val="auto"/>
              </w:rPr>
            </w:pPr>
            <w:r>
              <w:rPr>
                <w:rFonts w:ascii="Arial" w:cs="Arial" w:eastAsia="Arial" w:hAnsi="Arial"/>
                <w:sz w:val="22"/>
                <w:szCs w:val="22"/>
                <w:color w:val="auto"/>
                <w:w w:val="94"/>
              </w:rPr>
              <w:t>Name: Samir Gharib</w:t>
            </w:r>
          </w:p>
        </w:tc>
      </w:tr>
      <w:tr>
        <w:trPr>
          <w:trHeight w:val="243"/>
        </w:trPr>
        <w:tc>
          <w:tcPr>
            <w:tcW w:w="380" w:type="dxa"/>
            <w:vAlign w:val="bottom"/>
          </w:tcPr>
          <w:p>
            <w:pPr>
              <w:spacing w:after="0"/>
              <w:rPr>
                <w:sz w:val="21"/>
                <w:szCs w:val="21"/>
                <w:color w:val="auto"/>
              </w:rPr>
            </w:pPr>
          </w:p>
        </w:tc>
        <w:tc>
          <w:tcPr>
            <w:tcW w:w="3080" w:type="dxa"/>
            <w:vAlign w:val="bottom"/>
          </w:tcPr>
          <w:p>
            <w:pPr>
              <w:jc w:val="right"/>
              <w:ind w:right="1072"/>
              <w:spacing w:after="0" w:line="243" w:lineRule="exact"/>
              <w:rPr>
                <w:sz w:val="20"/>
                <w:szCs w:val="20"/>
                <w:color w:val="auto"/>
              </w:rPr>
            </w:pPr>
            <w:r>
              <w:rPr>
                <w:rFonts w:ascii="Arial" w:cs="Arial" w:eastAsia="Arial" w:hAnsi="Arial"/>
                <w:sz w:val="22"/>
                <w:szCs w:val="22"/>
                <w:color w:val="auto"/>
                <w:w w:val="96"/>
              </w:rPr>
              <w:t>Title:  President and</w:t>
            </w:r>
          </w:p>
        </w:tc>
      </w:tr>
      <w:tr>
        <w:trPr>
          <w:trHeight w:val="274"/>
        </w:trPr>
        <w:tc>
          <w:tcPr>
            <w:tcW w:w="380" w:type="dxa"/>
            <w:vAlign w:val="bottom"/>
          </w:tcPr>
          <w:p>
            <w:pPr>
              <w:spacing w:after="0"/>
              <w:rPr>
                <w:sz w:val="23"/>
                <w:szCs w:val="23"/>
                <w:color w:val="auto"/>
              </w:rPr>
            </w:pPr>
          </w:p>
        </w:tc>
        <w:tc>
          <w:tcPr>
            <w:tcW w:w="3080" w:type="dxa"/>
            <w:vAlign w:val="bottom"/>
          </w:tcPr>
          <w:p>
            <w:pPr>
              <w:jc w:val="right"/>
              <w:ind w:right="32"/>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432"/>
        <w:spacing w:after="0" w:line="250"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96215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1962150" cy="8890"/>
                    </a:xfrm>
                    <a:prstGeom prst="rect">
                      <a:avLst/>
                    </a:prstGeom>
                    <a:noFill/>
                  </pic:spPr>
                </pic:pic>
              </a:graphicData>
            </a:graphic>
          </wp:anchor>
        </w:drawing>
      </w:r>
    </w:p>
    <w:p>
      <w:pPr>
        <w:ind w:left="440"/>
        <w:spacing w:after="0"/>
        <w:tabs>
          <w:tab w:leader="none" w:pos="12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Brinkman</w:t>
      </w:r>
    </w:p>
    <w:p>
      <w:pPr>
        <w:ind w:left="440"/>
        <w:spacing w:after="0"/>
        <w:tabs>
          <w:tab w:leader="none" w:pos="1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Reference is made to the Open Market Sale Agreement between Spruce Bioscience, Inc.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(the “</w:t>
      </w:r>
      <w:r>
        <w:rPr>
          <w:rFonts w:ascii="Arial" w:cs="Arial" w:eastAsia="Arial" w:hAnsi="Arial"/>
          <w:sz w:val="22"/>
          <w:szCs w:val="22"/>
          <w:b w:val="1"/>
          <w:bCs w:val="1"/>
          <w:color w:val="auto"/>
        </w:rPr>
        <w:t>Agent</w:t>
      </w:r>
      <w:r>
        <w:rPr>
          <w:rFonts w:ascii="Arial" w:cs="Arial" w:eastAsia="Arial" w:hAnsi="Arial"/>
          <w:sz w:val="22"/>
          <w:szCs w:val="22"/>
          <w:color w:val="auto"/>
        </w:rPr>
        <w:t>”) dated as of February 25, 2022. The Company confirms that all conditions to the delivery of this Issuance Notice are satisfied as of the date hereof.</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of Delivery of Issuance Notice (determined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 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-17780</wp:posOffset>
            </wp:positionV>
            <wp:extent cx="10287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-17780</wp:posOffset>
            </wp:positionV>
            <wp:extent cx="10972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-17780</wp:posOffset>
            </wp:positionV>
            <wp:extent cx="10972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-17780</wp:posOffset>
            </wp:positionV>
            <wp:extent cx="10972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273050</wp:posOffset>
            </wp:positionV>
            <wp:extent cx="10972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-17780</wp:posOffset>
            </wp:positionV>
            <wp:extent cx="317373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3173730" cy="8890"/>
                    </a:xfrm>
                    <a:prstGeom prst="rect">
                      <a:avLst/>
                    </a:prstGeom>
                    <a:noFill/>
                  </pic:spPr>
                </pic:pic>
              </a:graphicData>
            </a:graphic>
          </wp:anchor>
        </w:drawing>
      </w:r>
    </w:p>
    <w:p>
      <w:pPr>
        <w:spacing w:after="0" w:line="18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______________________</w:t>
      </w:r>
    </w:p>
    <w:p>
      <w:pPr>
        <w:spacing w:after="0" w:line="233"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-17780</wp:posOffset>
            </wp:positionV>
            <wp:extent cx="168783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w:t>
      </w:r>
    </w:p>
    <w:p>
      <w:pPr>
        <w:ind w:left="56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jc w:val="center"/>
        <w:ind w:right="-1100"/>
        <w:spacing w:after="0"/>
        <w:rPr>
          <w:sz w:val="20"/>
          <w:szCs w:val="20"/>
          <w:color w:val="auto"/>
        </w:rPr>
      </w:pPr>
      <w:r>
        <w:rPr>
          <w:rFonts w:ascii="Arial" w:cs="Arial" w:eastAsia="Arial" w:hAnsi="Arial"/>
          <w:sz w:val="22"/>
          <w:szCs w:val="22"/>
          <w:b w:val="1"/>
          <w:bCs w:val="1"/>
          <w:color w:val="auto"/>
        </w:rPr>
        <w:t>Schedule A</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Notice Parties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Javier Szwarcberg, M.D., MPH, Chief Executive Officer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Samir Gharib, President and Chief Financial Officer ([***])</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Michael Brinkman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6" w:right="1440" w:bottom="1440" w:gutter="0" w:footer="0" w:header="0"/>
        </w:sectPr>
      </w:pPr>
    </w:p>
    <w:bookmarkStart w:id="188" w:name="page189"/>
    <w:bookmarkEnd w:id="188"/>
    <w:p>
      <w:pPr>
        <w:ind w:left="8660"/>
        <w:spacing w:after="0"/>
        <w:rPr>
          <w:sz w:val="20"/>
          <w:szCs w:val="20"/>
          <w:color w:val="auto"/>
        </w:rPr>
      </w:pPr>
      <w:r>
        <w:rPr>
          <w:rFonts w:ascii="Arial" w:cs="Arial" w:eastAsia="Arial" w:hAnsi="Arial"/>
          <w:sz w:val="22"/>
          <w:szCs w:val="22"/>
          <w:color w:val="auto"/>
        </w:rPr>
        <w:t>Exhibit 10.23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AND RELEASE AGREEMENT</w:t>
      </w:r>
    </w:p>
    <w:p>
      <w:pPr>
        <w:spacing w:after="0" w:line="209"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color w:val="auto"/>
        </w:rPr>
        <w:t xml:space="preserve">I, Rosh Dias, understand that my employment with </w:t>
      </w:r>
      <w:r>
        <w:rPr>
          <w:rFonts w:ascii="Arial" w:cs="Arial" w:eastAsia="Arial" w:hAnsi="Arial"/>
          <w:sz w:val="19"/>
          <w:szCs w:val="19"/>
          <w:b w:val="1"/>
          <w:bCs w:val="1"/>
          <w:color w:val="auto"/>
        </w:rPr>
        <w:t>Spruce Biosciences, Inc.</w:t>
      </w:r>
      <w:r>
        <w:rPr>
          <w:rFonts w:ascii="Arial" w:cs="Arial" w:eastAsia="Arial" w:hAnsi="Arial"/>
          <w:sz w:val="19"/>
          <w:szCs w:val="19"/>
          <w:color w:val="auto"/>
        </w:rPr>
        <w:t xml:space="preserve"> (the “</w:t>
      </w:r>
      <w:r>
        <w:rPr>
          <w:rFonts w:ascii="Arial" w:cs="Arial" w:eastAsia="Arial" w:hAnsi="Arial"/>
          <w:sz w:val="19"/>
          <w:szCs w:val="19"/>
          <w:b w:val="1"/>
          <w:bCs w:val="1"/>
          <w:color w:val="auto"/>
        </w:rPr>
        <w:t>Company</w:t>
      </w:r>
      <w:r>
        <w:rPr>
          <w:rFonts w:ascii="Arial" w:cs="Arial" w:eastAsia="Arial" w:hAnsi="Arial"/>
          <w:sz w:val="19"/>
          <w:szCs w:val="19"/>
          <w:color w:val="auto"/>
        </w:rPr>
        <w:t>”) will terminate effective as of March 11, 2022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I hereby irrevocably resign as Chief Medical Officer of the Company and from any other officer positions I may hold with the Company and any of its subsidiaries.</w:t>
      </w:r>
    </w:p>
    <w:p>
      <w:pPr>
        <w:spacing w:after="0" w:line="13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The Company has agreed that in exchange for my promises and obligations set forth in this Separation and Release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my employment termination will be considered a “Regular Termination” as set forth in and under the terms and conditions of the Spruce Biosciences, Inc. Severance and Change in Control Plan, dated September 9, 2020, and the signed Participation Agreement between the Company and me in connection therewith (collectively, the “</w:t>
      </w:r>
      <w:r>
        <w:rPr>
          <w:rFonts w:ascii="Arial" w:cs="Arial" w:eastAsia="Arial" w:hAnsi="Arial"/>
          <w:sz w:val="19"/>
          <w:szCs w:val="19"/>
          <w:b w:val="1"/>
          <w:bCs w:val="1"/>
          <w:color w:val="auto"/>
        </w:rPr>
        <w:t>Severance Plan</w:t>
      </w:r>
      <w:r>
        <w:rPr>
          <w:rFonts w:ascii="Arial" w:cs="Arial" w:eastAsia="Arial" w:hAnsi="Arial"/>
          <w:sz w:val="19"/>
          <w:szCs w:val="19"/>
          <w:color w:val="auto"/>
        </w:rPr>
        <w:t xml:space="preserve">”), copies of which are attached hereto as </w:t>
      </w:r>
      <w:r>
        <w:rPr>
          <w:rFonts w:ascii="Arial" w:cs="Arial" w:eastAsia="Arial" w:hAnsi="Arial"/>
          <w:sz w:val="19"/>
          <w:szCs w:val="19"/>
          <w:b w:val="1"/>
          <w:bCs w:val="1"/>
          <w:color w:val="auto"/>
        </w:rPr>
        <w:t>Annex I</w:t>
      </w:r>
      <w:r>
        <w:rPr>
          <w:rFonts w:ascii="Arial" w:cs="Arial" w:eastAsia="Arial" w:hAnsi="Arial"/>
          <w:sz w:val="19"/>
          <w:szCs w:val="19"/>
          <w:color w:val="auto"/>
        </w:rPr>
        <w:t xml:space="preserve"> and the terms of which are expressly incorporated by reference herein. Accordingly, if I timely sign and return to the Company this fully executed Agreement, allow it to become effective, and fully comply with my obligations hereunder and under the Severance Plan, then subject to the terms and conditions of the Severance Plan, the Company will provide me with the applicable severance benefits set forth in the Severance Plan (i.e., 9 months of salary continuation at my base salary rate of $442,900 per year (the “</w:t>
      </w:r>
      <w:r>
        <w:rPr>
          <w:rFonts w:ascii="Arial" w:cs="Arial" w:eastAsia="Arial" w:hAnsi="Arial"/>
          <w:sz w:val="19"/>
          <w:szCs w:val="19"/>
          <w:b w:val="1"/>
          <w:bCs w:val="1"/>
          <w:color w:val="auto"/>
        </w:rPr>
        <w:t>Cash Severance</w:t>
      </w:r>
      <w:r>
        <w:rPr>
          <w:rFonts w:ascii="Arial" w:cs="Arial" w:eastAsia="Arial" w:hAnsi="Arial"/>
          <w:sz w:val="19"/>
          <w:szCs w:val="19"/>
          <w:color w:val="auto"/>
        </w:rPr>
        <w:t>”) and COBRA premiums, each as described and under the terms of the Severance Plan, provided that notwithstanding the provisions of the Severance Plan, the Cash Severance shall be payable in a single lump sum payment on April 29, 2022). In addition, the Relocation Assistance and Repayment Assistance benefits set forth in your offer letter dated July 28, 2020 will be considered earned and not subject to repayment as of the Separation Date. Options or other equity awards granted to me by the Company will continue to be governed by the applicable equity incentive plans and applicable grant documents.</w:t>
      </w:r>
    </w:p>
    <w:p>
      <w:pPr>
        <w:spacing w:after="0" w:line="16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In consideration for the benefits I am receiving under the Severance Plan and this Agreement that I am not otherwise entitled to receive, I hereby generally and completely release the Company and its parents, subsidiaries, successors, predecessors, and affiliates, and each of their respective current and former directors, officers, employees, stockholders, shareholders, agents, attorneys, insurers, and assigns, from any and all claims, liabilities and obligations, both known and unknown, that arise out of or are in any way related to events, acts, conduct, or omissions occurring at any time prior to and including the date I sign this Agreement. This general release includes, but is not limited to: (a) all claims arising out of or in any way related to my employment or the termination of that employment; (b) all claims related to my compensation or benefits, including salary, bonuses, commissions, vacation pay, expense reimbursements, severance pay, fringe benefits, stock, stock options, or any other ownership interests; (c) all claims for breach of contract, wrongful termination, and breach of the implied covenant of good faith and fair dealing; (d) all tort claims, including claims for fraud, defamation, emotional distress, and discharge in violation of public policy; and (e) all federal, state, provincial and local statutory claims, including claims for discrimination, harassment, retaliation, attorneys’ fees, or other claims arising under the federal Civil Rights Act of 1964 (as amended), the federal Americans with Disabilities Act of 1990 (as amended), the federal Employee Retirement Income Security Act of 1974 (as amended), and the California Fair Employment and Housing Act (as amended). Notwithstanding the foregoing, I understand that the following claims are not included in my release: (i) any rights or claims for indemnification I may have pursuant to any written indemnification agreement; under the charter and bylaws of the Company; or under applicable law; (ii) any rights which cannot be waived as a matter of law; (iii) any rights I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t>to file or pursue a claim for workers’ compensation or unemployment insurance; or (iv) any claims for breach of this Agreement.</w:t>
      </w:r>
    </w:p>
    <w:p>
      <w:pPr>
        <w:spacing w:after="0" w:line="24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I acknowledge that I am knowingly and voluntarily waiving and releasing any rights I may have under the federal Age Discrimination in Employment Act (as amended) (“</w:t>
      </w:r>
      <w:r>
        <w:rPr>
          <w:rFonts w:ascii="Arial" w:cs="Arial" w:eastAsia="Arial" w:hAnsi="Arial"/>
          <w:sz w:val="21"/>
          <w:szCs w:val="21"/>
          <w:b w:val="1"/>
          <w:bCs w:val="1"/>
          <w:color w:val="auto"/>
        </w:rPr>
        <w:t>ADEA</w:t>
      </w:r>
      <w:r>
        <w:rPr>
          <w:rFonts w:ascii="Arial" w:cs="Arial" w:eastAsia="Arial" w:hAnsi="Arial"/>
          <w:sz w:val="21"/>
          <w:szCs w:val="21"/>
          <w:color w:val="auto"/>
        </w:rPr>
        <w:t>”), and that the consideration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after the date I sign this Agreement; (b) I should consult with an attorney prior to signing this Agreement (although I may choose voluntarily not do so); (c) I have 21 days to consider this Agreement (although I may choose voluntarily to sign it earlier); (d) I have seven days following the date I sign this Agreement to revoke it by providing written notice to the Board of Directors; and (e) this Agreement will not be effective until the date upon which the revocation period has expired, which will be the eighth day after I sign this Agreement.</w:t>
      </w:r>
    </w:p>
    <w:p>
      <w:pPr>
        <w:spacing w:after="0" w:line="17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I acknowledge that I have been advised, as required by California Government Code Section 12964.5(b)(4), that I have a right to consult an attorney regarding this Agreement and that I was given a reasonable time period of not less than five (5) business days in which to do so. </w:t>
      </w:r>
      <w:r>
        <w:rPr>
          <w:rFonts w:ascii="Arial" w:cs="Arial" w:eastAsia="Arial" w:hAnsi="Arial"/>
          <w:sz w:val="22"/>
          <w:szCs w:val="22"/>
          <w:color w:val="auto"/>
        </w:rPr>
        <w:t>I further acknowledge and agree that, in the event I sign this Agreement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end of the reasonable time period, my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83"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 xml:space="preserve">I acknowledge that I have read and understand Section 1542 of the California Civil Code which reads as follows: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general release does not extend to claims which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I hereby expressly waive and relinquish all rights and benefits under that</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and any law of any jurisdiction of similar effect with respect to my release of any claims hereunder.</w:t>
      </w:r>
    </w:p>
    <w:p>
      <w:pPr>
        <w:spacing w:after="0" w:line="14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I understand that nothing in this Agreement limits my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release. I further understand that nothing in this Agreement prevents me from discussing or disclosing information about unlawful acts in the workplace, such as harassment or discrimination or any other conduct that I have reason to believe is unlawful. My rights and protected activities in this paragraph will be referred herein to as “</w:t>
      </w:r>
      <w:r>
        <w:rPr>
          <w:rFonts w:ascii="Arial" w:cs="Arial" w:eastAsia="Arial" w:hAnsi="Arial"/>
          <w:sz w:val="19"/>
          <w:szCs w:val="19"/>
          <w:b w:val="1"/>
          <w:bCs w:val="1"/>
          <w:color w:val="auto"/>
        </w:rPr>
        <w:t>Protected Rights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jc w:val="both"/>
        <w:ind w:firstLine="749"/>
        <w:spacing w:after="0" w:line="272" w:lineRule="auto"/>
        <w:rPr>
          <w:sz w:val="20"/>
          <w:szCs w:val="20"/>
          <w:color w:val="auto"/>
        </w:rPr>
      </w:pPr>
      <w:r>
        <w:rPr>
          <w:rFonts w:ascii="Arial" w:cs="Arial" w:eastAsia="Arial" w:hAnsi="Arial"/>
          <w:sz w:val="19"/>
          <w:szCs w:val="19"/>
          <w:color w:val="auto"/>
        </w:rPr>
        <w:t>I expressly acknowledge and agree that the benefits provided by and as set forth in this Agreement satisfy in full and exceed any and all obligations of the Company to provide me with any benefits, compensation or severance in connection with my employment termination, including without limitation under the Severance Plan, my employment agreement with the Company dated July 28, 2020, and any other agreement, plan or policy applicable to me. I further acknowledge that, other than the severance benefits that will be provided to me as described in this Agreement upon the effectiveness of this release, among other required conditions, I have not earned and will not receive from the Company any additional compensation, severance, or benefits, with the exception of any vested right I may have under the express terms of a written ERISA-qualified benefit plan (e.g., 401(k) account). By way of example, I acknowledge that I have not earned and am not owed any bonus, vacation, incentive compensation, severance, commissions or equity. I hereby further represent that I have been paid all compensation owed and for all hours worked; I have received all the leave and leave benefits and protections for which I am eligible pursuant to the Family and Medical Leave Act, the California Family Rights Act, or otherwise; and I have not suffered any on-the-job injury for which I have not already filed a workers’ compensation claim.</w:t>
      </w:r>
    </w:p>
    <w:p>
      <w:pPr>
        <w:spacing w:after="0" w:line="16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 acknowledge my continuing obligations under my CIIA as well as my obligations to return all Company Property, as those terms are defined in, and as set forth in, the Severance Plan, as well as my other obligations and duties under the Severance Plan.</w:t>
      </w:r>
    </w:p>
    <w:p>
      <w:pPr>
        <w:spacing w:after="0" w:line="18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I hereby agree not to disparage the Company or any of its officers, directors, employees, shareholders, and agents, in any manner likely to be harmful to its or their business, business reputations or personal reputations, and the Company hereby agrees to direct its executive officers and directors not to disparage me in any manner likely to be harmful to my business reputation or personal reputation; provided that any party may respond accurately and fully to any question, inquiry or request for information when required by the legal process or in connection with a government investigation. In addition, nothing in this Agreement is intended to prohibit or restrain me in any manner from making disclosures that are protected under the whistleblower provisions of federal law or regulation or under other applicable law or regulation, nor from engaging in any Protected Rights.</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This Agreement, together with the Severance Plan, constitutes the complete, final and exclusive embodiment of the entire agreement between the Company and me with regard to the subject matter hereof. I am not relying on any promise or representation by the Company that is not expressly stated herein, and this Agreement supersedes any such promises or representations. This Agreement may only be modified by a writing signed by both me and a duly authorized officer of the Company. If any provision of this Agreement or the Severance Plan is determined to be invalid or unenforceable, in whole or in part, this determination shall not affect any other provision of this Agreement or the Severance Plan and the provision in question shall be modified so as to be rendered enforceable in a manner consistent with the intent of the parties insofar as possible under applicable law.</w:t>
      </w:r>
    </w:p>
    <w:p>
      <w:pPr>
        <w:spacing w:after="0" w:line="18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I acknowledge that to become effective, I must sign and return this Agreement to the Company so that it is received not later than 21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left="5080"/>
        <w:spacing w:after="0"/>
        <w:rPr>
          <w:sz w:val="20"/>
          <w:szCs w:val="20"/>
          <w:color w:val="auto"/>
        </w:rPr>
      </w:pPr>
      <w:r>
        <w:rPr>
          <w:rFonts w:ascii="Arial" w:cs="Arial" w:eastAsia="Arial" w:hAnsi="Arial"/>
          <w:sz w:val="15"/>
          <w:szCs w:val="15"/>
          <w:b w:val="1"/>
          <w:bCs w:val="1"/>
          <w:color w:val="auto"/>
        </w:rPr>
        <w:t>ROSH DIAS</w:t>
      </w:r>
    </w:p>
    <w:p>
      <w:pPr>
        <w:spacing w:after="0" w:line="200" w:lineRule="exact"/>
        <w:rPr>
          <w:sz w:val="20"/>
          <w:szCs w:val="20"/>
          <w:color w:val="auto"/>
        </w:rPr>
      </w:pPr>
    </w:p>
    <w:p>
      <w:pPr>
        <w:spacing w:after="0" w:line="302"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/s/Rosh Dias</w:t>
      </w:r>
    </w:p>
    <w:p>
      <w:pPr>
        <w:jc w:val="right"/>
        <w:ind w:right="1539"/>
        <w:spacing w:after="0"/>
        <w:rPr>
          <w:sz w:val="20"/>
          <w:szCs w:val="20"/>
          <w:color w:val="auto"/>
        </w:rPr>
      </w:pPr>
      <w:r>
        <w:rPr>
          <w:rFonts w:ascii="Arial" w:cs="Arial" w:eastAsia="Arial" w:hAnsi="Arial"/>
          <w:sz w:val="22"/>
          <w:szCs w:val="22"/>
          <w:i w:val="1"/>
          <w:iCs w:val="1"/>
          <w:color w:val="auto"/>
        </w:rPr>
        <w:t>(Signature)</w:t>
      </w:r>
    </w:p>
    <w:p>
      <w:pPr>
        <w:spacing w:after="0" w:line="26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March 11, 2022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PRUCE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342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/s/Javier Szwarcberg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688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By: Javier Szwarcberg, Chief Executive Officer</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Date: 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-17780</wp:posOffset>
            </wp:positionV>
            <wp:extent cx="268605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ectPr>
          <w:pgSz w:w="11900" w:h="16838" w:orient="portrait"/>
          <w:cols w:equalWidth="0" w:num="1">
            <w:col w:w="10139"/>
          </w:cols>
          <w:pgMar w:left="320" w:top="180" w:right="1440"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22"/>
          <w:szCs w:val="22"/>
          <w:b w:val="1"/>
          <w:bCs w:val="1"/>
          <w:u w:val="single" w:color="auto"/>
          <w:color w:val="auto"/>
        </w:rPr>
        <w:t>Annex 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SEVERANCE AND CHANGE OF CONTROL PLAN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AND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308610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3" w:name="page194"/>
    <w:bookmarkEnd w:id="193"/>
    <w:p>
      <w:pPr>
        <w:spacing w:after="0" w:line="47" w:lineRule="exact"/>
        <w:rPr>
          <w:sz w:val="20"/>
          <w:szCs w:val="20"/>
          <w:color w:val="auto"/>
        </w:rPr>
      </w:pPr>
    </w:p>
    <w:p>
      <w:pPr>
        <w:ind w:left="8160"/>
        <w:spacing w:after="0"/>
        <w:rPr>
          <w:sz w:val="20"/>
          <w:szCs w:val="20"/>
          <w:color w:val="auto"/>
        </w:rPr>
      </w:pPr>
      <w:r>
        <w:rPr>
          <w:rFonts w:ascii="Arial" w:cs="Arial" w:eastAsia="Arial" w:hAnsi="Arial"/>
          <w:sz w:val="20"/>
          <w:szCs w:val="20"/>
          <w:color w:val="auto"/>
        </w:rPr>
        <w:t>Exhibit 10.24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Ralph William Charlton III</w:t>
      </w:r>
      <w:r>
        <w:rPr>
          <w:rFonts w:ascii="Arial" w:cs="Arial" w:eastAsia="Arial" w:hAnsi="Arial"/>
          <w:sz w:val="19"/>
          <w:szCs w:val="19"/>
          <w:color w:val="auto"/>
        </w:rPr>
        <w:t>, M.D., M.A.S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March 14, 2022</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Terms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Dear Will,</w:t>
      </w:r>
    </w:p>
    <w:p>
      <w:pPr>
        <w:spacing w:after="0" w:line="135" w:lineRule="exact"/>
        <w:rPr>
          <w:sz w:val="20"/>
          <w:szCs w:val="20"/>
          <w:color w:val="auto"/>
        </w:rPr>
      </w:pPr>
    </w:p>
    <w:p>
      <w:pPr>
        <w:jc w:val="both"/>
        <w:ind w:firstLine="396"/>
        <w:spacing w:after="0" w:line="243" w:lineRule="auto"/>
        <w:rPr>
          <w:sz w:val="20"/>
          <w:szCs w:val="20"/>
          <w:color w:val="auto"/>
        </w:rPr>
      </w:pPr>
      <w:r>
        <w:rPr>
          <w:rFonts w:ascii="Arial" w:cs="Arial" w:eastAsia="Arial" w:hAnsi="Arial"/>
          <w:sz w:val="20"/>
          <w:szCs w:val="20"/>
          <w:color w:val="auto"/>
        </w:rPr>
        <w:t xml:space="preserve">Spruce Biosciences, Inc., a Delaware corporation (the “ </w:t>
      </w:r>
      <w:r>
        <w:rPr>
          <w:rFonts w:ascii="Arial" w:cs="Arial" w:eastAsia="Arial" w:hAnsi="Arial"/>
          <w:sz w:val="20"/>
          <w:szCs w:val="20"/>
          <w:u w:val="single" w:color="auto"/>
          <w:color w:val="auto"/>
        </w:rPr>
        <w:t>Company</w:t>
      </w:r>
      <w:r>
        <w:rPr>
          <w:rFonts w:ascii="Arial" w:cs="Arial" w:eastAsia="Arial" w:hAnsi="Arial"/>
          <w:sz w:val="20"/>
          <w:szCs w:val="20"/>
          <w:color w:val="auto"/>
        </w:rPr>
        <w:t>”), is pleased to offer you full-time employment in the regular exempt position of Chief Medical Officer effective as of March 28, 2022 (the “</w:t>
      </w:r>
      <w:r>
        <w:rPr>
          <w:rFonts w:ascii="Arial" w:cs="Arial" w:eastAsia="Arial" w:hAnsi="Arial"/>
          <w:sz w:val="20"/>
          <w:szCs w:val="20"/>
          <w:u w:val="single" w:color="auto"/>
          <w:color w:val="auto"/>
        </w:rPr>
        <w:t>Commencement Date</w:t>
      </w:r>
      <w:r>
        <w:rPr>
          <w:rFonts w:ascii="Arial" w:cs="Arial" w:eastAsia="Arial" w:hAnsi="Arial"/>
          <w:sz w:val="20"/>
          <w:szCs w:val="20"/>
          <w:color w:val="auto"/>
        </w:rPr>
        <w:t>”), in which you will be responsible for such duties as are normally associated with such position or as otherwise determined by your supervisor. You will report to Javier Szwarcberg, the Chief Executive Officer, or such other individual as the Company may designate. Your position will be headquartered in our offices located in Daly City, California, or such other location as the Company may designate, except for such travel as may be necessary to fulfill your responsibilities. In the course of your employment with Company, you will be subject to and required to comply with all company policies, and applicable laws and regulations.</w:t>
      </w:r>
    </w:p>
    <w:p>
      <w:pPr>
        <w:spacing w:after="0" w:line="125" w:lineRule="exact"/>
        <w:rPr>
          <w:sz w:val="20"/>
          <w:szCs w:val="20"/>
          <w:color w:val="auto"/>
        </w:rPr>
      </w:pPr>
    </w:p>
    <w:p>
      <w:pPr>
        <w:jc w:val="both"/>
        <w:ind w:right="20" w:firstLine="396"/>
        <w:spacing w:after="0" w:line="250" w:lineRule="auto"/>
        <w:rPr>
          <w:sz w:val="20"/>
          <w:szCs w:val="20"/>
          <w:color w:val="auto"/>
        </w:rPr>
      </w:pPr>
      <w:r>
        <w:rPr>
          <w:rFonts w:ascii="Arial" w:cs="Arial" w:eastAsia="Arial" w:hAnsi="Arial"/>
          <w:sz w:val="20"/>
          <w:szCs w:val="20"/>
          <w:color w:val="auto"/>
        </w:rPr>
        <w:t>You will be paid a base salary at the annual rate of $400,000 subject to required tax withholding and other authorized deductions. Your base salary will be payable in accordance with the Company’s standard payroll policies and subject to adjustment pursuant to the Company’s policies as in effect from time to time.</w:t>
      </w:r>
    </w:p>
    <w:p>
      <w:pPr>
        <w:spacing w:after="0" w:line="11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In addition to your base salary, you may be eligible to earn an annual cash performance bonus, at the discretion of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or Compensation Committee of the Board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based on the attainment of corporate performance metrics and/or individual performance objectives, in each case established and evaluated by the Board or Compensation Committee in its sole good faith discretion. Your target annual bonus shall be 40% of your base salary, but the actual amount of your annual bonus may be more or less, depending on the attainment of applicable performance criteria and Company achievements. Such annual bonus shall be paid within three months following the year to which the annual bonus relates and will be contingent upon your continued employment through the applicable payment date (provided that if your employment is terminated by the Company without Cause (as defined in the Equity Plan (as defined below) or as the result of your death or disability, then in any such case you will receive any earned but unpaid annual bonus relating to the immediately preceding calendar year at the same time as if no such termination had occurred). You hereby acknowledge and agree that nothing contained herein confers upon you any right to an annual bonus in any year, and that whether the Company pays you an annual bonus and the amount of any such annual bonus will be determined by the Board or Compensation Committee in its sole good faith discretion.</w:t>
      </w:r>
    </w:p>
    <w:p>
      <w:pPr>
        <w:spacing w:after="0" w:line="198"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8"/>
          <w:szCs w:val="18"/>
          <w:color w:val="auto"/>
        </w:rPr>
        <w:t>Subject to approval by the Board or Compensation Committee, the Company will grant you an option to purchase 250,000 shares of the Company’s common stock (the “</w:t>
      </w:r>
      <w:r>
        <w:rPr>
          <w:rFonts w:ascii="Arial" w:cs="Arial" w:eastAsia="Arial" w:hAnsi="Arial"/>
          <w:sz w:val="18"/>
          <w:szCs w:val="18"/>
          <w:u w:val="single" w:color="auto"/>
          <w:color w:val="auto"/>
        </w:rPr>
        <w:t>Stock Option</w:t>
      </w:r>
      <w:r>
        <w:rPr>
          <w:rFonts w:ascii="Arial" w:cs="Arial" w:eastAsia="Arial" w:hAnsi="Arial"/>
          <w:sz w:val="18"/>
          <w:szCs w:val="18"/>
          <w:color w:val="auto"/>
        </w:rPr>
        <w:t>”) at a per share exercise price equal to the closing sales price on the Nasdaq Global Select Market on the Date of Grant. The Date of Grant shall be the sooner of the first or fifteenth day of the calendar month immediately following the Commencement Date, or if such day is not a business day, then the next business day. Subject to your</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DBB"/>
        </w:rPr>
        <w:t>2001 Junipero Serra Blvd | Suite 640 | Daly City, CA 94014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jc w:val="both"/>
        <w:spacing w:after="0" w:line="244" w:lineRule="auto"/>
        <w:rPr>
          <w:sz w:val="20"/>
          <w:szCs w:val="20"/>
          <w:color w:val="auto"/>
        </w:rPr>
      </w:pPr>
      <w:r>
        <w:rPr>
          <w:rFonts w:ascii="Arial" w:cs="Arial" w:eastAsia="Arial" w:hAnsi="Arial"/>
          <w:sz w:val="20"/>
          <w:szCs w:val="20"/>
          <w:color w:val="auto"/>
        </w:rPr>
        <w:t>continued employment with the Company through the applicable vesting date, 25% of the shares underlying the Stock Option will vest on the first anniversary of the Commencement Date and 1/48th of the total number of shares initially underlying the Stock Option will vest on each monthly anniversary thereafter. The Stock Option will otherwise be subject to the terms and conditions of the Company’s 2020 Equity Incentive Plan (the “</w:t>
      </w:r>
      <w:r>
        <w:rPr>
          <w:rFonts w:ascii="Arial" w:cs="Arial" w:eastAsia="Arial" w:hAnsi="Arial"/>
          <w:sz w:val="20"/>
          <w:szCs w:val="20"/>
          <w:u w:val="single" w:color="auto"/>
          <w:color w:val="auto"/>
        </w:rPr>
        <w:t>Equity Plan</w:t>
      </w:r>
      <w:r>
        <w:rPr>
          <w:rFonts w:ascii="Arial" w:cs="Arial" w:eastAsia="Arial" w:hAnsi="Arial"/>
          <w:sz w:val="20"/>
          <w:szCs w:val="20"/>
          <w:color w:val="auto"/>
        </w:rPr>
        <w:t>”) and a stock option agreement to be entered into between you and the Company (the “</w:t>
      </w:r>
      <w:r>
        <w:rPr>
          <w:rFonts w:ascii="Arial" w:cs="Arial" w:eastAsia="Arial" w:hAnsi="Arial"/>
          <w:sz w:val="20"/>
          <w:szCs w:val="20"/>
          <w:u w:val="single" w:color="auto"/>
          <w:color w:val="auto"/>
        </w:rPr>
        <w:t>Stock Option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27"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You will be entitled to participate in the Company's Severance and Change of Control Plan, a copy of which will be separately provided to you. You will also be eligible to participate in all of the employee benefits and benefit plans that the Company generally makes available to its regular full-time employees, including group health plans, life and disability insurances, and a 401k Plan. In addition, during your employment, you will be eligible for other standard benefits, such as paid time off and holidays to the extent applicable generally to other similarly situated employees of the Company. The Company reserves the right to terminate, modify or add to its benefits and benefit plans at any time.</w:t>
      </w:r>
    </w:p>
    <w:p>
      <w:pPr>
        <w:spacing w:after="0" w:line="18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Company requires that, as a full-time employee, you devote your full business time, attention, skill, and efforts to the tasks and duties of your position as assigned by the Company. Accordingly, you may not provide services (for any or no form of compensation) for any other person or business entity while employed by the Company, without prior authorization and approval from the Board.</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auto"/>
        </w:rPr>
        <w:t>As an executive officer of the Company, you will be entitled to indemnification as provided under the Company's bylaws and other governing documents in effect as of the date hereof to the fullest extent permitted by applicable law. The Company and you intend that such obligation shall remain in full force and effect, such that a future change in the Company's bylaws other than a change required by applicable law, shall not affect the Company's obligations hereunder. You will be covered by the Company’s directors' and officers' liability insurance policy on the same basis as other executive officers of the Company.</w:t>
      </w:r>
    </w:p>
    <w:p>
      <w:pPr>
        <w:spacing w:after="0" w:line="176" w:lineRule="exact"/>
        <w:rPr>
          <w:sz w:val="20"/>
          <w:szCs w:val="20"/>
          <w:color w:val="auto"/>
        </w:rPr>
      </w:pPr>
    </w:p>
    <w:p>
      <w:pPr>
        <w:jc w:val="both"/>
        <w:ind w:firstLine="396"/>
        <w:spacing w:after="0"/>
        <w:rPr>
          <w:sz w:val="20"/>
          <w:szCs w:val="20"/>
          <w:color w:val="auto"/>
        </w:rPr>
      </w:pPr>
      <w:r>
        <w:rPr>
          <w:rFonts w:ascii="Arial" w:cs="Arial" w:eastAsia="Arial" w:hAnsi="Arial"/>
          <w:sz w:val="19"/>
          <w:szCs w:val="19"/>
          <w:color w:val="auto"/>
        </w:rPr>
        <w:t>As a condition of employment, you will be required to (1) sign and comply with a Proprietary Information and Inventions Assignment Agreement, a copy of which will be separately provided to you, which, among other things, prohibits unauthorized use or disclosure of Company proprietary information, (2) sign and return a satisfactory I-9 Immigration form and provide sufficient documentation establishing your employment eligibility in the United States of America, and (3) provide satisfactory proof of your identity as required by United States law. This offer, and any employment pursuant to this offer, is also conditioned upon your consent to, and results satisfactory to the Company of reference and background checks. Until you have been informed in writing by Company that such checks have been completed and the results found satisfactory, you may wish to defer reliance on this offer. By signing below, you represent that your performance of services to the Company will not violate any duty which you may have to any other person or entity (such as a present or former employer), including obligations concerning providing services (whether or not competitive) to others, confidentiality of proprietary information and assignment of inventions, ideas, patents or copyrights, and you agree that you will not do anything in the performance of services hereunder that would violate any such duty.</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Notwithstanding any of the above, your employment with the Company is "at will". This means</w:t>
      </w:r>
    </w:p>
    <w:p>
      <w:pPr>
        <w:spacing w:after="0" w:line="227" w:lineRule="auto"/>
        <w:rPr>
          <w:sz w:val="20"/>
          <w:szCs w:val="20"/>
          <w:color w:val="auto"/>
        </w:rPr>
      </w:pPr>
      <w:r>
        <w:rPr>
          <w:rFonts w:ascii="Arial" w:cs="Arial" w:eastAsia="Arial" w:hAnsi="Arial"/>
          <w:sz w:val="20"/>
          <w:szCs w:val="20"/>
          <w:color w:val="auto"/>
        </w:rPr>
        <w:t>that it is not for any specified period of time and can be terminated by you or by the Company at any time,</w:t>
      </w:r>
    </w:p>
    <w:p>
      <w:pPr>
        <w:spacing w:after="0" w:line="214" w:lineRule="auto"/>
        <w:rPr>
          <w:sz w:val="20"/>
          <w:szCs w:val="20"/>
          <w:color w:val="auto"/>
        </w:rPr>
      </w:pPr>
      <w:r>
        <w:rPr>
          <w:rFonts w:ascii="Arial" w:cs="Arial" w:eastAsia="Arial" w:hAnsi="Arial"/>
          <w:sz w:val="20"/>
          <w:szCs w:val="20"/>
          <w:color w:val="auto"/>
        </w:rPr>
        <w:t>with or without advance notice, and for any or no particular reason or cause. This "at-will" nature of your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DBB"/>
        </w:rPr>
        <w:t>2001 Junipero Serra Blvd | Suite 640 | Daly City, CA 94014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195" w:name="page196"/>
    <w:bookmarkEnd w:id="195"/>
    <w:p>
      <w:pPr>
        <w:jc w:val="both"/>
        <w:spacing w:after="0" w:line="246" w:lineRule="auto"/>
        <w:rPr>
          <w:sz w:val="20"/>
          <w:szCs w:val="20"/>
          <w:color w:val="auto"/>
        </w:rPr>
      </w:pPr>
      <w:r>
        <w:rPr>
          <w:rFonts w:ascii="Arial" w:cs="Arial" w:eastAsia="Arial" w:hAnsi="Arial"/>
          <w:sz w:val="20"/>
          <w:szCs w:val="20"/>
          <w:color w:val="auto"/>
        </w:rPr>
        <w:t>employment shall remain unchanged during your tenure as an employee and may not be changed, except in an express writing signed by you and another authorized officer of the Company.</w:t>
      </w:r>
    </w:p>
    <w:p>
      <w:pPr>
        <w:spacing w:after="0" w:line="190"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8"/>
          <w:szCs w:val="18"/>
          <w:color w:val="auto"/>
        </w:rPr>
        <w:t>If you accept this offer, this letter, the Proprietary Information and Invention Assignment Agreement, and the other plans, policies and agreements referred to herein shall constitute the complete agreement between you and Company with respect to the terms and conditions of your employment. Any prior or contemporaneous representations (whether oral or written) not contained herein or therein or contrary to those contained herein or therein, that may have been made to you are expressly cancelled and superseded by this offer. This offer letter shall be interpreted and construed in accordance with California law without regard to any conflicts of laws principles.</w:t>
      </w:r>
    </w:p>
    <w:p>
      <w:pPr>
        <w:spacing w:after="0" w:line="97" w:lineRule="exact"/>
        <w:rPr>
          <w:sz w:val="20"/>
          <w:szCs w:val="20"/>
          <w:color w:val="auto"/>
        </w:rPr>
      </w:pPr>
    </w:p>
    <w:p>
      <w:pPr>
        <w:ind w:right="2920" w:firstLine="749"/>
        <w:spacing w:after="0" w:line="267" w:lineRule="auto"/>
        <w:rPr>
          <w:sz w:val="20"/>
          <w:szCs w:val="20"/>
          <w:color w:val="auto"/>
        </w:rPr>
      </w:pPr>
      <w:r>
        <w:rPr>
          <w:rFonts w:ascii="Arial" w:cs="Arial" w:eastAsia="Arial" w:hAnsi="Arial"/>
          <w:sz w:val="18"/>
          <w:szCs w:val="18"/>
          <w:color w:val="auto"/>
        </w:rPr>
        <w:t>Please sign and date this letter and the Proprietary Information and Invention Assignment Agreement, and return it to me by March 14, 2022 if you wish to accept employment at the Company under the terms described above, after which time this offer of employment will expire. If you accept our offer, we would like you to commence your employment with us as soon as practicable.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DBB"/>
        </w:rPr>
        <w:t>2001 Junipero Serra Blvd | Suite 640 | Daly City, CA 94014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196" w:name="page197"/>
    <w:bookmarkEnd w:id="196"/>
    <w:p>
      <w:pPr>
        <w:spacing w:after="0"/>
        <w:rPr>
          <w:sz w:val="20"/>
          <w:szCs w:val="20"/>
          <w:color w:val="auto"/>
        </w:rPr>
      </w:pPr>
      <w:r>
        <w:rPr>
          <w:rFonts w:ascii="Arial" w:cs="Arial" w:eastAsia="Arial" w:hAnsi="Arial"/>
          <w:sz w:val="19"/>
          <w:szCs w:val="19"/>
          <w:color w:val="auto"/>
        </w:rPr>
        <w:t>We look forward to your favorable reply and to a productive and enjoyable work relationship.</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20"/>
          <w:szCs w:val="20"/>
          <w:i w:val="1"/>
          <w:iCs w:val="1"/>
          <w:color w:val="auto"/>
        </w:rPr>
        <w:t>/s/ Javier Szwarcberg, MD, MPH</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Javier Szwarcberg, MD, MPH</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Spruce Biosciences,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Ralph William Charlton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12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22612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Ralph William Charlton III</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041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2010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299"/>
        <w:spacing w:after="0"/>
        <w:rPr>
          <w:sz w:val="20"/>
          <w:szCs w:val="20"/>
          <w:color w:val="auto"/>
        </w:rPr>
      </w:pPr>
      <w:r>
        <w:rPr>
          <w:rFonts w:ascii="Arial" w:cs="Arial" w:eastAsia="Arial" w:hAnsi="Arial"/>
          <w:sz w:val="16"/>
          <w:szCs w:val="16"/>
          <w:b w:val="1"/>
          <w:bCs w:val="1"/>
          <w:color w:val="00ADBB"/>
        </w:rPr>
        <w:t>2001 Junipero Serra Blvd | Suite 640 | Daly City, CA 94014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43"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Spruce Biosciences, Inc.</w:t>
      </w:r>
    </w:p>
    <w:p>
      <w:pPr>
        <w:spacing w:after="0"/>
        <w:rPr>
          <w:sz w:val="20"/>
          <w:szCs w:val="20"/>
          <w:color w:val="auto"/>
        </w:rPr>
      </w:pPr>
      <w:r>
        <w:rPr>
          <w:rFonts w:ascii="Arial" w:cs="Arial" w:eastAsia="Arial" w:hAnsi="Arial"/>
          <w:sz w:val="19"/>
          <w:szCs w:val="19"/>
          <w:color w:val="auto"/>
        </w:rPr>
        <w:t>Daly City, California</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We hereby consent to the incorporation by reference in the Registration Statements on Form S-8 (No. 333-249431) and (No. 333-254593) of Spruce Biosciences, Inc. of our report dated March 14, 2022, relating to the financial statements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rPr>
          <w:sz w:val="20"/>
          <w:szCs w:val="20"/>
          <w:color w:val="auto"/>
        </w:rPr>
      </w:pPr>
      <w:r>
        <w:rPr>
          <w:rFonts w:ascii="Arial" w:cs="Arial" w:eastAsia="Arial" w:hAnsi="Arial"/>
          <w:sz w:val="19"/>
          <w:szCs w:val="19"/>
          <w:color w:val="auto"/>
        </w:rPr>
        <w:t>San Jose, California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Javier Szwarcberg, certify that:</w:t>
      </w:r>
    </w:p>
    <w:p>
      <w:pPr>
        <w:spacing w:after="0" w:line="212"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5500" w:val="left"/>
          <w:tab w:leader="none" w:pos="734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4327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Javier Szwarcberg, M.D., MPH</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12" w:lineRule="exact"/>
        <w:rPr>
          <w:sz w:val="20"/>
          <w:szCs w:val="20"/>
          <w:color w:val="auto"/>
        </w:rPr>
      </w:pPr>
    </w:p>
    <w:p>
      <w:pPr>
        <w:ind w:left="520" w:hanging="512"/>
        <w:spacing w:after="0"/>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20"/>
              <w:spacing w:after="0"/>
              <w:rPr>
                <w:sz w:val="20"/>
                <w:szCs w:val="20"/>
                <w:color w:val="auto"/>
              </w:rPr>
            </w:pPr>
            <w:r>
              <w:rPr>
                <w:rFonts w:ascii="Arial" w:cs="Arial" w:eastAsia="Arial" w:hAnsi="Arial"/>
                <w:sz w:val="18"/>
                <w:szCs w:val="18"/>
                <w:color w:val="auto"/>
              </w:rPr>
              <w:t>Date: March 14, 2022</w:t>
            </w:r>
          </w:p>
        </w:tc>
        <w:tc>
          <w:tcPr>
            <w:tcW w:w="2420" w:type="dxa"/>
            <w:vAlign w:val="bottom"/>
          </w:tcPr>
          <w:p>
            <w:pPr>
              <w:ind w:left="19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Samir Gharib</w:t>
            </w:r>
          </w:p>
        </w:tc>
      </w:tr>
      <w:tr>
        <w:trPr>
          <w:trHeight w:val="178"/>
        </w:trPr>
        <w:tc>
          <w:tcPr>
            <w:tcW w:w="35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2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3"/>
              </w:rPr>
              <w:t>Samir Gharib</w:t>
            </w:r>
          </w:p>
        </w:tc>
      </w:tr>
      <w:tr>
        <w:trPr>
          <w:trHeight w:val="203"/>
        </w:trPr>
        <w:tc>
          <w:tcPr>
            <w:tcW w:w="35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President and Chief Financial Officer</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304"/>
        </w:trPr>
        <w:tc>
          <w:tcPr>
            <w:tcW w:w="35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26" w:lineRule="exact"/>
        <w:rPr>
          <w:rFonts w:ascii="Arial" w:cs="Arial" w:eastAsia="Arial" w:hAnsi="Arial"/>
          <w:sz w:val="16"/>
          <w:szCs w:val="16"/>
          <w:color w:val="auto"/>
        </w:rPr>
      </w:pPr>
    </w:p>
    <w:p>
      <w:pPr>
        <w:ind w:left="1020" w:right="620" w:hanging="503"/>
        <w:spacing w:after="0" w:line="261" w:lineRule="auto"/>
        <w:tabs>
          <w:tab w:leader="none" w:pos="10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20"/>
              <w:spacing w:after="0"/>
              <w:rPr>
                <w:sz w:val="20"/>
                <w:szCs w:val="20"/>
                <w:color w:val="auto"/>
              </w:rPr>
            </w:pPr>
            <w:r>
              <w:rPr>
                <w:rFonts w:ascii="Arial" w:cs="Arial" w:eastAsia="Arial" w:hAnsi="Arial"/>
                <w:sz w:val="18"/>
                <w:szCs w:val="18"/>
                <w:color w:val="auto"/>
              </w:rPr>
              <w:t>Date: March 14, 2022</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Javier Szwarcberg, M.D., MPH</w:t>
            </w:r>
          </w:p>
        </w:tc>
      </w:tr>
      <w:tr>
        <w:trPr>
          <w:trHeight w:val="178"/>
        </w:trPr>
        <w:tc>
          <w:tcPr>
            <w:tcW w:w="35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4"/>
              </w:rPr>
              <w:t>Javier Szwarcberg, M.D., MPH</w:t>
            </w:r>
          </w:p>
        </w:tc>
      </w:tr>
      <w:tr>
        <w:trPr>
          <w:trHeight w:val="203"/>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07"/>
        </w:trPr>
        <w:tc>
          <w:tcPr>
            <w:tcW w:w="35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26" w:lineRule="exact"/>
        <w:rPr>
          <w:rFonts w:ascii="Arial" w:cs="Arial" w:eastAsia="Arial" w:hAnsi="Arial"/>
          <w:sz w:val="16"/>
          <w:szCs w:val="16"/>
          <w:color w:val="auto"/>
        </w:rPr>
      </w:pPr>
    </w:p>
    <w:p>
      <w:pPr>
        <w:ind w:left="1020" w:right="620" w:hanging="503"/>
        <w:spacing w:after="0" w:line="261" w:lineRule="auto"/>
        <w:tabs>
          <w:tab w:leader="none" w:pos="10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ind w:left="20"/>
              <w:spacing w:after="0"/>
              <w:rPr>
                <w:sz w:val="20"/>
                <w:szCs w:val="20"/>
                <w:color w:val="auto"/>
              </w:rPr>
            </w:pPr>
            <w:r>
              <w:rPr>
                <w:rFonts w:ascii="Arial" w:cs="Arial" w:eastAsia="Arial" w:hAnsi="Arial"/>
                <w:sz w:val="18"/>
                <w:szCs w:val="18"/>
                <w:color w:val="auto"/>
              </w:rPr>
              <w:t>Date: March 14, 2022</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Samir Gharib</w:t>
            </w:r>
          </w:p>
        </w:tc>
      </w:tr>
      <w:tr>
        <w:trPr>
          <w:trHeight w:val="178"/>
        </w:trPr>
        <w:tc>
          <w:tcPr>
            <w:tcW w:w="35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5"/>
              </w:rPr>
              <w:t>Samir Gharib</w:t>
            </w:r>
          </w:p>
        </w:tc>
      </w:tr>
      <w:tr>
        <w:trPr>
          <w:trHeight w:val="203"/>
        </w:trPr>
        <w:tc>
          <w:tcPr>
            <w:tcW w:w="3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President and Chief Financial Officer</w:t>
            </w:r>
          </w:p>
        </w:tc>
      </w:tr>
      <w:tr>
        <w:trPr>
          <w:trHeight w:val="234"/>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507"/>
        </w:trPr>
        <w:tc>
          <w:tcPr>
            <w:tcW w:w="35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2" w:name="page203"/>
    <w:bookmarkEnd w:id="2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1."/>
      <w:numFmt w:val="decimal"/>
      <w:start w:val="19"/>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2"/>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5"/>
    </w:lvl>
  </w:abstractNum>
  <w:abstractNum w:abstractNumId="55">
    <w:nsid w:val="6EB5BD4"/>
    <w:multiLevelType w:val="hybridMultilevel"/>
    <w:lvl w:ilvl="0">
      <w:lvlJc w:val="left"/>
      <w:lvlText w:val="%1."/>
      <w:numFmt w:val="decimal"/>
      <w:start w:val="9"/>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lvl w:ilvl="1">
      <w:lvlJc w:val="left"/>
      <w:lvlText w:val="%2"/>
      <w:numFmt w:val="decimal"/>
      <w:start w:val="104"/>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Roman"/>
      <w:start w:val="10"/>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2"/>
    </w:lvl>
  </w:abstractNum>
  <w:abstractNum w:abstractNumId="65">
    <w:nsid w:val="68EBC550"/>
    <w:multiLevelType w:val="hybridMultilevel"/>
    <w:lvl w:ilvl="0">
      <w:lvlJc w:val="left"/>
      <w:lvlText w:val="(%1)"/>
      <w:numFmt w:val="lowerLetter"/>
      <w:start w:val="3"/>
    </w:lvl>
  </w:abstractNum>
  <w:abstractNum w:abstractNumId="66">
    <w:nsid w:val="2DF6D648"/>
    <w:multiLevelType w:val="hybridMultilevel"/>
    <w:lvl w:ilvl="0">
      <w:lvlJc w:val="left"/>
      <w:lvlText w:val="%1"/>
      <w:numFmt w:val="upperLetter"/>
      <w:start w:val="1"/>
    </w:lvl>
    <w:lvl w:ilvl="1">
      <w:lvlJc w:val="left"/>
      <w:lvlText w:val="(%2)"/>
      <w:numFmt w:val="lowerLetter"/>
      <w:start w:val="7"/>
    </w:lvl>
  </w:abstractNum>
  <w:abstractNum w:abstractNumId="67">
    <w:nsid w:val="46B7D447"/>
    <w:multiLevelType w:val="hybridMultilevel"/>
    <w:lvl w:ilvl="0">
      <w:lvlJc w:val="left"/>
      <w:lvlText w:val="(%1)"/>
      <w:numFmt w:val="upperLetter"/>
      <w:start w:val="2"/>
    </w:lvl>
    <w:lvl w:ilvl="1">
      <w:lvlJc w:val="left"/>
      <w:lvlText w:val="(%2)"/>
      <w:numFmt w:val="lowerLetter"/>
      <w:start w:val="11"/>
    </w:lvl>
  </w:abstractNum>
  <w:abstractNum w:abstractNumId="68">
    <w:nsid w:val="4A2AC315"/>
    <w:multiLevelType w:val="hybridMultilevel"/>
    <w:lvl w:ilvl="0">
      <w:lvlJc w:val="left"/>
      <w:lvlText w:val="(%1)"/>
      <w:numFmt w:val="lowerLetter"/>
      <w:start w:val="12"/>
    </w:lvl>
  </w:abstractNum>
  <w:abstractNum w:abstractNumId="69">
    <w:nsid w:val="39EE015C"/>
    <w:multiLevelType w:val="hybridMultilevel"/>
    <w:lvl w:ilvl="0">
      <w:lvlJc w:val="left"/>
      <w:lvlText w:val="(%1)"/>
      <w:numFmt w:val="lowerLetter"/>
      <w:start w:val="15"/>
    </w:lvl>
  </w:abstractNum>
  <w:abstractNum w:abstractNumId="70">
    <w:nsid w:val="57FC4FBB"/>
    <w:multiLevelType w:val="hybridMultilevel"/>
    <w:lvl w:ilvl="0">
      <w:lvlJc w:val="left"/>
      <w:lvlText w:val="(%1)"/>
      <w:numFmt w:val="lowerLetter"/>
      <w:start w:val="19"/>
    </w:lvl>
  </w:abstractNum>
  <w:abstractNum w:abstractNumId="71">
    <w:nsid w:val="CC1016F"/>
    <w:multiLevelType w:val="hybridMultilevel"/>
    <w:lvl w:ilvl="0">
      <w:lvlJc w:val="left"/>
      <w:lvlText w:val="(%1)"/>
      <w:numFmt w:val="lowerLetter"/>
      <w:start w:val="22"/>
    </w:lvl>
  </w:abstractNum>
  <w:abstractNum w:abstractNumId="72">
    <w:nsid w:val="43F18422"/>
    <w:multiLevelType w:val="hybridMultilevel"/>
    <w:lvl w:ilvl="0">
      <w:lvlJc w:val="left"/>
      <w:lvlText w:val="(%1)"/>
      <w:numFmt w:val="lowerLetter"/>
      <w:start w:val="24"/>
    </w:lvl>
  </w:abstractNum>
  <w:abstractNum w:abstractNumId="73">
    <w:nsid w:val="60EF0119"/>
    <w:multiLevelType w:val="hybridMultilevel"/>
    <w:lvl w:ilvl="0">
      <w:lvlJc w:val="left"/>
      <w:lvlText w:val="(%1)"/>
      <w:numFmt w:val="lowerLetter"/>
      <w:start w:val="27"/>
    </w:lvl>
  </w:abstractNum>
  <w:abstractNum w:abstractNumId="74">
    <w:nsid w:val="26F324BA"/>
    <w:multiLevelType w:val="hybridMultilevel"/>
    <w:lvl w:ilvl="0">
      <w:lvlJc w:val="left"/>
      <w:lvlText w:val="(%1)"/>
      <w:numFmt w:val="lowerLetter"/>
      <w:start w:val="30"/>
    </w:lvl>
  </w:abstractNum>
  <w:abstractNum w:abstractNumId="75">
    <w:nsid w:val="7F01579B"/>
    <w:multiLevelType w:val="hybridMultilevel"/>
    <w:lvl w:ilvl="0">
      <w:lvlJc w:val="left"/>
      <w:lvlText w:val="(%1)"/>
      <w:numFmt w:val="lowerLetter"/>
      <w:start w:val="34"/>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lvl w:ilvl="1">
      <w:lvlJc w:val="left"/>
      <w:lvlText w:val="(%2)"/>
      <w:numFmt w:val="lowerLetter"/>
      <w:start w:val="2"/>
    </w:lvl>
  </w:abstractNum>
  <w:abstractNum w:abstractNumId="78">
    <w:nsid w:val="5FB8370B"/>
    <w:multiLevelType w:val="hybridMultilevel"/>
    <w:lvl w:ilvl="0">
      <w:lvlJc w:val="left"/>
      <w:lvlText w:val="(%1)"/>
      <w:numFmt w:val="lowerLetter"/>
      <w:start w:val="41"/>
    </w:lvl>
    <w:lvl w:ilvl="1">
      <w:lvlJc w:val="left"/>
      <w:lvlText w:val="%2"/>
      <w:numFmt w:val="lowerLetter"/>
      <w:start w:val="1"/>
    </w:lvl>
  </w:abstractNum>
  <w:abstractNum w:abstractNumId="79">
    <w:nsid w:val="50801EE1"/>
    <w:multiLevelType w:val="hybridMultilevel"/>
    <w:lvl w:ilvl="0">
      <w:lvlJc w:val="left"/>
      <w:lvlText w:val="%1"/>
      <w:numFmt w:val="lowerRoman"/>
      <w:start w:val="1"/>
    </w:lvl>
    <w:lvl w:ilvl="1">
      <w:lvlJc w:val="left"/>
      <w:lvlText w:val="(%2)"/>
      <w:numFmt w:val="lowerLetter"/>
      <w:start w:val="44"/>
    </w:lvl>
  </w:abstractNum>
  <w:abstractNum w:abstractNumId="80">
    <w:nsid w:val="488AC1A"/>
    <w:multiLevelType w:val="hybridMultilevel"/>
    <w:lvl w:ilvl="0">
      <w:lvlJc w:val="left"/>
      <w:lvlText w:val="(%1)"/>
      <w:numFmt w:val="lowerRoman"/>
      <w:start w:val="4"/>
    </w:lvl>
    <w:lvl w:ilvl="1">
      <w:lvlJc w:val="left"/>
      <w:lvlText w:val="(%2)"/>
      <w:numFmt w:val="lowerLetter"/>
      <w:start w:val="45"/>
    </w:lvl>
  </w:abstractNum>
  <w:abstractNum w:abstractNumId="81">
    <w:nsid w:val="5FB8011C"/>
    <w:multiLevelType w:val="hybridMultilevel"/>
    <w:lvl w:ilvl="0">
      <w:lvlJc w:val="left"/>
      <w:lvlText w:val="§"/>
      <w:numFmt w:val="bullet"/>
      <w:start w:val="1"/>
    </w:lvl>
    <w:lvl w:ilvl="1">
      <w:lvlJc w:val="left"/>
      <w:lvlText w:val="(%2)"/>
      <w:numFmt w:val="lowerLetter"/>
      <w:start w:val="47"/>
    </w:lvl>
  </w:abstractNum>
  <w:abstractNum w:abstractNumId="82">
    <w:nsid w:val="6AA78F7F"/>
    <w:multiLevelType w:val="hybridMultilevel"/>
    <w:lvl w:ilvl="0">
      <w:lvlJc w:val="left"/>
      <w:lvlText w:val="(%1)"/>
      <w:numFmt w:val="lowerLetter"/>
      <w:start w:val="48"/>
    </w:lvl>
  </w:abstractNum>
  <w:abstractNum w:abstractNumId="83">
    <w:nsid w:val="7672BD23"/>
    <w:multiLevelType w:val="hybridMultilevel"/>
    <w:lvl w:ilvl="0">
      <w:lvlJc w:val="left"/>
      <w:lvlText w:val="%1"/>
      <w:numFmt w:val="lowerLetter"/>
      <w:start w:val="1"/>
    </w:lvl>
    <w:lvl w:ilvl="1">
      <w:lvlJc w:val="left"/>
      <w:lvlText w:val="(%2)"/>
      <w:numFmt w:val="lowerLetter"/>
      <w:start w:val="1"/>
    </w:lvl>
  </w:abstractNum>
  <w:abstractNum w:abstractNumId="84">
    <w:nsid w:val="6FC75AF8"/>
    <w:multiLevelType w:val="hybridMultilevel"/>
    <w:lvl w:ilvl="0">
      <w:lvlJc w:val="left"/>
      <w:lvlText w:val="(%1)"/>
      <w:numFmt w:val="lowerLetter"/>
      <w:start w:val="9"/>
    </w:lvl>
    <w:lvl w:ilvl="1">
      <w:lvlJc w:val="left"/>
      <w:lvlText w:val="%2"/>
      <w:numFmt w:val="lowerLetter"/>
      <w:start w:val="1"/>
    </w:lvl>
  </w:abstractNum>
  <w:abstractNum w:abstractNumId="85">
    <w:nsid w:val="6A5F7029"/>
    <w:multiLevelType w:val="hybridMultilevel"/>
    <w:lvl w:ilvl="0">
      <w:lvlJc w:val="left"/>
      <w:lvlText w:val="(%1)"/>
      <w:numFmt w:val="lowerRoman"/>
      <w:start w:val="2"/>
    </w:lvl>
  </w:abstractNum>
  <w:abstractNum w:abstractNumId="86">
    <w:nsid w:val="7D5E18F8"/>
    <w:multiLevelType w:val="hybridMultilevel"/>
    <w:lvl w:ilvl="0">
      <w:lvlJc w:val="left"/>
      <w:lvlText w:val="(%1)"/>
      <w:numFmt w:val="lowerRoman"/>
      <w:start w:val="7"/>
    </w:lvl>
    <w:lvl w:ilvl="1">
      <w:lvlJc w:val="left"/>
      <w:lvlText w:val="(%2)"/>
      <w:numFmt w:val="lowerRoman"/>
      <w:start w:val="8"/>
    </w:lvl>
  </w:abstractNum>
  <w:abstractNum w:abstractNumId="87">
    <w:nsid w:val="5F3534A4"/>
    <w:multiLevelType w:val="hybridMultilevel"/>
    <w:lvl w:ilvl="0">
      <w:lvlJc w:val="left"/>
      <w:lvlText w:val="(%1)"/>
      <w:numFmt w:val="lowerLetter"/>
      <w:start w:val="3"/>
    </w:lvl>
  </w:abstractNum>
  <w:abstractNum w:abstractNumId="88">
    <w:nsid w:val="73A1821B"/>
    <w:multiLevelType w:val="hybridMultilevel"/>
    <w:lvl w:ilvl="0">
      <w:lvlJc w:val="left"/>
      <w:lvlText w:val="(%1)"/>
      <w:numFmt w:val="upperLetter"/>
      <w:start w:val="1"/>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5"/>
    </w:lvl>
  </w:abstractNum>
  <w:abstractNum w:abstractNumId="92">
    <w:nsid w:val="14FCE74E"/>
    <w:multiLevelType w:val="hybridMultilevel"/>
    <w:lvl w:ilvl="0">
      <w:lvlJc w:val="left"/>
      <w:lvlText w:val="(%1)"/>
      <w:numFmt w:val="lowerLetter"/>
      <w:start w:val="9"/>
    </w:lvl>
  </w:abstractNum>
  <w:abstractNum w:abstractNumId="93">
    <w:nsid w:val="6A3DD3E8"/>
    <w:multiLevelType w:val="hybridMultilevel"/>
    <w:lvl w:ilvl="0">
      <w:lvlJc w:val="left"/>
      <w:lvlText w:val="(%1)"/>
      <w:numFmt w:val="lowerLetter"/>
      <w:start w:val="12"/>
    </w:lvl>
  </w:abstractNum>
  <w:abstractNum w:abstractNumId="94">
    <w:nsid w:val="71C91298"/>
    <w:multiLevelType w:val="hybridMultilevel"/>
    <w:lvl w:ilvl="0">
      <w:lvlJc w:val="left"/>
      <w:lvlText w:val="(%1)"/>
      <w:numFmt w:val="lowerLetter"/>
      <w:start w:val="13"/>
    </w:lvl>
    <w:lvl w:ilvl="1">
      <w:lvlJc w:val="left"/>
      <w:lvlText w:val="(%2)"/>
      <w:numFmt w:val="upperLetter"/>
      <w:start w:val="1"/>
    </w:lvl>
  </w:abstractNum>
  <w:abstractNum w:abstractNumId="95">
    <w:nsid w:val="9DAF632"/>
    <w:multiLevelType w:val="hybridMultilevel"/>
    <w:lvl w:ilvl="0">
      <w:lvlJc w:val="left"/>
      <w:lvlText w:val="(%1)"/>
      <w:numFmt w:val="lowerLetter"/>
      <w:start w:val="16"/>
    </w:lvl>
  </w:abstractNum>
  <w:abstractNum w:abstractNumId="96">
    <w:nsid w:val="53299938"/>
    <w:multiLevelType w:val="hybridMultilevel"/>
    <w:lvl w:ilvl="0">
      <w:lvlJc w:val="left"/>
      <w:lvlText w:val="(%1)"/>
      <w:numFmt w:val="lowerLetter"/>
      <w:start w:val="18"/>
    </w:lvl>
    <w:lvl w:ilvl="1">
      <w:lvlJc w:val="left"/>
      <w:lvlText w:val="(%2)"/>
      <w:numFmt w:val="lowerLetter"/>
      <w:start w:val="1"/>
    </w:lvl>
  </w:abstractNum>
  <w:abstractNum w:abstractNumId="97">
    <w:nsid w:val="1FBFE8E0"/>
    <w:multiLevelType w:val="hybridMultilevel"/>
    <w:lvl w:ilvl="0">
      <w:lvlJc w:val="left"/>
      <w:lvlText w:val="(%1)"/>
      <w:numFmt w:val="lowerLetter"/>
      <w:start w:val="18"/>
    </w:lvl>
  </w:abstractNum>
  <w:abstractNum w:abstractNumId="98">
    <w:nsid w:val="5092CA79"/>
    <w:multiLevelType w:val="hybridMultilevel"/>
    <w:lvl w:ilvl="0">
      <w:lvlJc w:val="left"/>
      <w:lvlText w:val="(%1)"/>
      <w:numFmt w:val="lowerLetter"/>
      <w:start w:val="1"/>
    </w:lvl>
    <w:lvl w:ilvl="1">
      <w:lvlJc w:val="left"/>
      <w:lvlText w:val="(%2)"/>
      <w:numFmt w:val="lowerLetter"/>
      <w:start w:val="9"/>
    </w:lvl>
  </w:abstractNum>
  <w:abstractNum w:abstractNumId="99">
    <w:nsid w:val="1D545C4D"/>
    <w:multiLevelType w:val="hybridMultilevel"/>
    <w:lvl w:ilvl="0">
      <w:lvlJc w:val="left"/>
      <w:lvlText w:val="%1"/>
      <w:numFmt w:val="lowerLetter"/>
      <w:start w:val="1"/>
    </w:lvl>
    <w:lvl w:ilvl="1">
      <w:lvlJc w:val="left"/>
      <w:lvlText w:val="(%2)"/>
      <w:numFmt w:val="lowerRoman"/>
      <w:start w:val="2"/>
    </w:lvl>
  </w:abstractNum>
  <w:abstractNum w:abstractNumId="100">
    <w:nsid w:val="59ADEA3D"/>
    <w:multiLevelType w:val="hybridMultilevel"/>
    <w:lvl w:ilvl="0">
      <w:lvlJc w:val="left"/>
      <w:lvlText w:val="(%1)"/>
      <w:numFmt w:val="lowerLetter"/>
      <w:start w:val="2"/>
    </w:lvl>
    <w:lvl w:ilvl="1">
      <w:lvlJc w:val="left"/>
      <w:lvlText w:val="%2"/>
      <w:numFmt w:val="lowerRoman"/>
      <w:start w:val="1"/>
    </w:lvl>
  </w:abstractNum>
  <w:abstractNum w:abstractNumId="101">
    <w:nsid w:val="288F1A34"/>
    <w:multiLevelType w:val="hybridMultilevel"/>
    <w:lvl w:ilvl="0">
      <w:lvlJc w:val="left"/>
      <w:lvlText w:val="(%1)"/>
      <w:numFmt w:val="lowerLetter"/>
      <w:start w:val="3"/>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2"/>
    </w:lvl>
  </w:abstractNum>
  <w:abstractNum w:abstractNumId="104">
    <w:nsid w:val="97E1B4E"/>
    <w:multiLevelType w:val="hybridMultilevel"/>
    <w:lvl w:ilvl="0">
      <w:lvlJc w:val="left"/>
      <w:lvlText w:val="(%1)"/>
      <w:numFmt w:val="lowerLetter"/>
      <w:start w:val="4"/>
    </w:lvl>
  </w:abstractNum>
  <w:abstractNum w:abstractNumId="105">
    <w:nsid w:val="51088277"/>
    <w:multiLevelType w:val="hybridMultilevel"/>
    <w:lvl w:ilvl="0">
      <w:lvlJc w:val="left"/>
      <w:lvlText w:val="(%1)"/>
      <w:numFmt w:val="lowerLetter"/>
      <w:start w:val="1"/>
    </w:lvl>
    <w:lvl w:ilvl="1">
      <w:lvlJc w:val="left"/>
      <w:lvlText w:val="(%2)"/>
      <w:numFmt w:val="lowerRoman"/>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lowerLetter"/>
      <w:start w:val="5"/>
    </w:lvl>
  </w:abstractNum>
  <w:abstractNum w:abstractNumId="109">
    <w:nsid w:val="7C58FD05"/>
    <w:multiLevelType w:val="hybridMultilevel"/>
    <w:lvl w:ilvl="0">
      <w:lvlJc w:val="left"/>
      <w:lvlText w:val="(%1)"/>
      <w:numFmt w:val="lowerLetter"/>
      <w:start w:val="8"/>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450" Type="http://schemas.openxmlformats.org/officeDocument/2006/relationships/hyperlink" Target="https://www.sec.gov/Archives/edgar/data/0001683553/000119312520269344/d12372dex31.htm" TargetMode="External"/><Relationship Id="rId451" Type="http://schemas.openxmlformats.org/officeDocument/2006/relationships/hyperlink" Target="https://www.sec.gov/Archives/edgar/data/0001683553/000119312520269344/d12372dex32.htm" TargetMode="External"/><Relationship Id="rId452" Type="http://schemas.openxmlformats.org/officeDocument/2006/relationships/hyperlink" Target="https://www.sec.gov/Archives/edgar/data/0001683553/000119312520263195/d902020dex41.htm" TargetMode="External"/><Relationship Id="rId453" Type="http://schemas.openxmlformats.org/officeDocument/2006/relationships/hyperlink" Target="https://www.sec.gov/Archives/edgar/data/0001683553/000119312520249221/d902020dex42.htm" TargetMode="External"/><Relationship Id="rId454" Type="http://schemas.openxmlformats.org/officeDocument/2006/relationships/hyperlink" Target="https://www.sec.gov/Archives/edgar/data/0001683553/000119312520249221/d902020dex43.htm" TargetMode="External"/><Relationship Id="rId455" Type="http://schemas.openxmlformats.org/officeDocument/2006/relationships/hyperlink" Target="https://www.sec.gov/Archives/edgar/data/0001683553/000156459021014593/sprb-ex44_801.htm" TargetMode="External"/><Relationship Id="rId456" Type="http://schemas.openxmlformats.org/officeDocument/2006/relationships/hyperlink" Target="https://www.sec.gov/Archives/edgar/data/0001683553/000119312520249221/d902020dex101.htm" TargetMode="External"/><Relationship Id="rId457" Type="http://schemas.openxmlformats.org/officeDocument/2006/relationships/hyperlink" Target="https://www.sec.gov/Archives/edgar/data/0001683553/000119312520249221/d902020dex102.htm" TargetMode="External"/><Relationship Id="rId458" Type="http://schemas.openxmlformats.org/officeDocument/2006/relationships/hyperlink" Target="https://www.sec.gov/Archives/edgar/data/0001683553/000119312520249221/d902020dex103.htm" TargetMode="External"/><Relationship Id="rId459" Type="http://schemas.openxmlformats.org/officeDocument/2006/relationships/hyperlink" Target="https://www.sec.gov/Archives/edgar/data/0001683553/000119312520249221/d902020dex104.htm" TargetMode="External"/><Relationship Id="rId460" Type="http://schemas.openxmlformats.org/officeDocument/2006/relationships/hyperlink" Target="https://www.sec.gov/Archives/edgar/data/1683553/000156459021014593/sprb-ex106_1193.htm" TargetMode="External"/><Relationship Id="rId464" Type="http://schemas.openxmlformats.org/officeDocument/2006/relationships/hyperlink" Target="https://www.sec.gov/Archives/edgar/data/1683553/000156459022000432/sprb-ex102_6.htm" TargetMode="External"/><Relationship Id="rId465" Type="http://schemas.openxmlformats.org/officeDocument/2006/relationships/hyperlink" Target="https://www.sec.gov/Archives/edgar/data/0001683553/000119312520263195/d902020dex106.htm" TargetMode="External"/><Relationship Id="rId466" Type="http://schemas.openxmlformats.org/officeDocument/2006/relationships/hyperlink" Target="https://www.sec.gov/Archives/edgar/data/0001683553/000119312520249221/d902020dex107.htm" TargetMode="External"/><Relationship Id="rId467" Type="http://schemas.openxmlformats.org/officeDocument/2006/relationships/hyperlink" Target="https://www.sec.gov/Archives/edgar/data/0001683553/000119312520249221/d902020dex109.htm" TargetMode="External"/><Relationship Id="rId468" Type="http://schemas.openxmlformats.org/officeDocument/2006/relationships/hyperlink" Target="https://www.sec.gov/Archives/edgar/data/0001683553/000119312520249221/d902020dex1011.htm" TargetMode="External"/><Relationship Id="rId469" Type="http://schemas.openxmlformats.org/officeDocument/2006/relationships/hyperlink" Target="https://www.sec.gov/Archives/edgar/data/0001683553/000119312520249221/d902020dex1016.htm" TargetMode="External"/><Relationship Id="rId470" Type="http://schemas.openxmlformats.org/officeDocument/2006/relationships/hyperlink" Target="https://www.sec.gov/Archives/edgar/data/0001683553/000119312520249221/d902020dex1017.htm" TargetMode="External"/><Relationship Id="rId471" Type="http://schemas.openxmlformats.org/officeDocument/2006/relationships/hyperlink" Target="https://www.sec.gov/Archives/edgar/data/0001683553/000119312520249221/d902020dex1018.htm" TargetMode="External"/><Relationship Id="rId472" Type="http://schemas.openxmlformats.org/officeDocument/2006/relationships/hyperlink" Target="https://www.sec.gov/Archives/edgar/data/0001683553/000119312520249221/d902020dex1019.htm" TargetMode="External"/><Relationship Id="rId473" Type="http://schemas.openxmlformats.org/officeDocument/2006/relationships/hyperlink" Target="https://www.sec.gov/Archives/edgar/data/0001683553/000119312520249221/d902020dex1020.htm" TargetMode="External"/><Relationship Id="rId474" Type="http://schemas.openxmlformats.org/officeDocument/2006/relationships/hyperlink" Target="https://www.sec.gov/Archives/edgar/data/1683553/000156459022000432/sprb-ex101_7.htm" TargetMode="External"/><Relationship Id="rId475" Type="http://schemas.openxmlformats.org/officeDocument/2006/relationships/hyperlink" Target="https://www.sec.gov/Archives/edgar/data/0001683553/000119312520249221/d902020dex1021.htm" TargetMode="External"/><Relationship Id="rId476" Type="http://schemas.openxmlformats.org/officeDocument/2006/relationships/hyperlink" Target="https://www.sec.gov/Archives/edgar/data/0001683553/000119312520249221/d902020dex1022.htm" TargetMode="External"/><Relationship Id="rId477" Type="http://schemas.openxmlformats.org/officeDocument/2006/relationships/hyperlink" Target="https://www.sec.gov/Archives/edgar/data/0001683553/000119312520249221/d902020dex1023.htm" TargetMode="External"/><Relationship Id="rId478" Type="http://schemas.openxmlformats.org/officeDocument/2006/relationships/hyperlink" Target="https://www.sec.gov/Archives/edgar/data/0001683553/000156459021014593/sprb-ex1019_1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2022-03-14T15:42:29Z</dcterms:created>
  <dcterms:modified xsi:type="dcterms:W3CDTF">2022-03-14T15:42:29Z</dcterms:modified>
</cp:coreProperties>
</file>